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86" w:rsidRPr="008D4386" w:rsidRDefault="008D4386" w:rsidP="008D4386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>МИНИСТЕРСТВО ЦИФРОВОГО РАЗВИТИЯ, СВЯЗИ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 МАССОВЫХ КОММУНИКАЦИЙ РОССИЙСКОЙ ФЕДЕРАЦИИ 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ПИСЬМО 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29 декабря 2025 г. N П12-130083 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8D4386" w:rsidRPr="008D4386" w:rsidRDefault="008D4386" w:rsidP="008D438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D438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РАССМОТРЕНИИ ОБРАЩЕНИЯ </w:t>
      </w:r>
    </w:p>
    <w:p w:rsidR="008D4386" w:rsidRPr="008D4386" w:rsidRDefault="008D4386" w:rsidP="008D4386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spellStart"/>
      <w:r w:rsidRPr="008D4386">
        <w:rPr>
          <w:rFonts w:ascii="Palatino Linotype" w:hAnsi="Palatino Linotype"/>
          <w:sz w:val="24"/>
          <w:szCs w:val="24"/>
          <w:lang w:eastAsia="ru-RU"/>
        </w:rPr>
        <w:t>Минцифры</w:t>
      </w:r>
      <w:proofErr w:type="spellEnd"/>
      <w:r w:rsidRPr="008D4386">
        <w:rPr>
          <w:rFonts w:ascii="Palatino Linotype" w:hAnsi="Palatino Linotype"/>
          <w:sz w:val="24"/>
          <w:szCs w:val="24"/>
          <w:lang w:eastAsia="ru-RU"/>
        </w:rPr>
        <w:t xml:space="preserve"> России рассмотрено обращение по вопросам массовых и (или) автоматических телефонных вызовов (далее - массовые вызовы), а также маркировки вызовов.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Относительно критериев определения массовых вызовов сообщаем следующее. Статьей 44.1-1 Федерального закона от 07.07.2003 N 126-ФЗ "О связи" полномочие Правительства Российской Федерации либо </w:t>
      </w:r>
      <w:proofErr w:type="spellStart"/>
      <w:r w:rsidRPr="008D4386">
        <w:rPr>
          <w:rFonts w:ascii="Palatino Linotype" w:hAnsi="Palatino Linotype"/>
          <w:sz w:val="24"/>
          <w:szCs w:val="24"/>
          <w:lang w:eastAsia="ru-RU"/>
        </w:rPr>
        <w:t>Минцифры</w:t>
      </w:r>
      <w:proofErr w:type="spellEnd"/>
      <w:r w:rsidRPr="008D4386">
        <w:rPr>
          <w:rFonts w:ascii="Palatino Linotype" w:hAnsi="Palatino Linotype"/>
          <w:sz w:val="24"/>
          <w:szCs w:val="24"/>
          <w:lang w:eastAsia="ru-RU"/>
        </w:rPr>
        <w:t xml:space="preserve"> России по определению указанных критериев не установлено. Выявление массовых вызовов осуществляется операторами связи самостоятельно, с использованием различных критериев, конкретное содержание которых зависит от применяемой оператором связи </w:t>
      </w:r>
      <w:proofErr w:type="spellStart"/>
      <w:r w:rsidRPr="008D4386">
        <w:rPr>
          <w:rFonts w:ascii="Palatino Linotype" w:hAnsi="Palatino Linotype"/>
          <w:sz w:val="24"/>
          <w:szCs w:val="24"/>
          <w:lang w:eastAsia="ru-RU"/>
        </w:rPr>
        <w:t>антифрод</w:t>
      </w:r>
      <w:proofErr w:type="spellEnd"/>
      <w:r w:rsidRPr="008D4386">
        <w:rPr>
          <w:rFonts w:ascii="Palatino Linotype" w:hAnsi="Palatino Linotype"/>
          <w:sz w:val="24"/>
          <w:szCs w:val="24"/>
          <w:lang w:eastAsia="ru-RU"/>
        </w:rPr>
        <w:t xml:space="preserve">-политики, а также его технического оснащения.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В части согласия на массовые вызовы, а также их блокирования операторами связи отмечаем. В соответствии с пунктом 1 статьи 44.1-1 Федерального закона "О связи" получение массовых вызовов абонентом возможно только при условии получения его предварительного согласия. Такое согласие должно выражаться посредством совершения действий, однозначно идентифицирующих этого абонента и позволяющих достоверно установить его волеизъявление на получение массовых вызовов. Иных требований к согласию, порядку его получения и проверки указанной статьей не устанавливается.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При этом требуется отметить, что в силу пункта 3 указанной статьи совершение массовых вызовов с нарушением требований Федерального закона "О связи" является незаконным. Кроме того, на основании пункта 3 статьи 44 того же Федерального закона оператор связи, при нарушении абонентом требований, установленных Федеральным законом "О связи", вправе приостановить оказание услуг связи.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Таким образом, оператор связи вправе блокировать массовые вызовы, включая массовые вызовы, подлежащие маркировке, если такие вызовы совершаются с нарушением требований законодательства, в том числе - при отсутствии согласия вызываемого абонента. </w:t>
      </w:r>
      <w:proofErr w:type="gramStart"/>
      <w:r w:rsidRPr="008D4386">
        <w:rPr>
          <w:rFonts w:ascii="Palatino Linotype" w:hAnsi="Palatino Linotype"/>
          <w:sz w:val="24"/>
          <w:szCs w:val="24"/>
          <w:lang w:eastAsia="ru-RU"/>
        </w:rPr>
        <w:t xml:space="preserve">С учетом изложенного полагаем, что оператор связи вправе запрашивать такое согласие у заказчика массовых вызовов. </w:t>
      </w:r>
      <w:proofErr w:type="gramEnd"/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Относительно права абонента на отказ от массовых вызовов сообщаем. На основании пункта 2 статьи 44.1-1 Федерального закона "О связи" абонент вправе направить своему оператору связи отказ от получения массовых вызовов. Оператор связи, которому такой отказ предоставлен, обязан прекратить пропуск массовых </w:t>
      </w:r>
      <w:r w:rsidRPr="008D438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вызовов на пользовательское оборудование вызываемого абонента. Порядок отказа абонента от получения массовых вызовов урегулирован пунктами 222 - 226 Правил оказания услуг телефонной связи, утвержденных постановлением Правительства Российской Федерации от 30.12.2024 N 1994.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Необходимо отметить, что право абонента на отказ от массовых вызовов носит безусловный характер и не предполагает выбора категории и (или) инициатора вызова. Оператор связи не имеет технической возможности определять категорию массового вызова, поскольку содержание конкретного вызова составляет охраняемую законом тайну связи. Ограничение права на тайну связи осуществляется исключительно в случаях, предусмотренных федеральными законами (статья 63 Федерального закона "О связи"). К указанным случаям пропуск оператором связи массовых вызовов не относится.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Таким образом, техническая возможность реализации абонентом права на отказ лишь от отдельных категорий массовых вызовов, при согласии на пропуск иных массовых вызовов, отсутствует.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Касательно требований к договору на массовые вызовы сообщаем. В соответствии с пунктом 3 статьи 44.1-1 Федерального закона "О связи" совершение массовых вызовов допускается на основании договора об оказании услуг по осуществлению таких вызовов оператором связи. В силу прямого указания закона заключение таких договоров является обязательным с каждым оператором связи, абонентам которых предназначены такие вызовы. Какие-либо специальные требования к форме, содержанию и порядку заключения названного договора, а также к порядку тарификации и оплаты услуг по осуществлению массовых вызовов данной статьей не закрепляются.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В то же время требуется отметить, что в силу пункта 1 статьи 44.1-1 Федерального закона "О связи" массовые вызовы являются телефонными вызовами. Инициация телефонных вызовов, в соответствии с положениями статьи 44 названного Федерального закона, осуществляется на основании самостоятельного договора об оказании услуг телефонной связи, заключаемого в соответствии с требованиями законодательства в области связи, включая Правила оказания услуг телефонной связи.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Таким образом, договор об оказании услуг по совершению массовых вызовов, предусмотренных пунктом 3 статьи 44.1-1 Федерального закона, и договор об оказании услуг телефонной связи, по смыслу законодательства, не тождественны и являются самостоятельными договорами, к которым действующим законодательством в области связи установлены различные требования.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Относительно порядка маркировки телефонных вызовов отмечаем, что указанный порядок определен Правилами, утвержденными постановлением Правительства Российской Федерации от 27.08.2025 N 1300. В соответствии с абзацем первым пункта 5 </w:t>
      </w:r>
      <w:proofErr w:type="gramStart"/>
      <w:r w:rsidRPr="008D4386">
        <w:rPr>
          <w:rFonts w:ascii="Palatino Linotype" w:hAnsi="Palatino Linotype"/>
          <w:sz w:val="24"/>
          <w:szCs w:val="24"/>
          <w:lang w:eastAsia="ru-RU"/>
        </w:rPr>
        <w:t>Правил</w:t>
      </w:r>
      <w:proofErr w:type="gramEnd"/>
      <w:r w:rsidRPr="008D4386">
        <w:rPr>
          <w:rFonts w:ascii="Palatino Linotype" w:hAnsi="Palatino Linotype"/>
          <w:sz w:val="24"/>
          <w:szCs w:val="24"/>
          <w:lang w:eastAsia="ru-RU"/>
        </w:rPr>
        <w:t xml:space="preserve"> маркировка вызовов осуществляется на основании договора об отображении информации, заключаемого абонентом - юридическим </w:t>
      </w:r>
      <w:r w:rsidRPr="008D438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лицом (индивидуальным предпринимателем) либо с оператором связи, с сети связи которого указанным абонентом инициируются телефонные вызовы (далее - оператор-инициатор), либо с оператором подвижной радиотелефонной связи. Перечень сведений, подлежащих обязательному включению в договор, определен абзацем вторым пункта 5, а также пунктом 6 Правил.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Иных требований к договору об отображении информации, включая его форму, содержание и порядок заключения, а также к порядку тарификации и оплаты услуг по отображению информации Правилами не установлено. </w:t>
      </w:r>
    </w:p>
    <w:p w:rsidR="008D4386" w:rsidRPr="008D4386" w:rsidRDefault="008D4386" w:rsidP="008D438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Дополнительно сообщаем, что в настоящее время ответственность за неисполнение требований законодательства в области связи в части маркировки вызовов в настоящее время не установлена. При этом отмечаем, что в силу пункта 9.1 статьи 46 Федерального закона "О связи" обязанность по реализации маркировки возложена на оператора-инициатора.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Директор Департамента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государственного регулирования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рынка телекоммуникаций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Д.А.ТУР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D4386" w:rsidRPr="008D4386" w:rsidRDefault="008D4386" w:rsidP="008D4386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D4386">
        <w:rPr>
          <w:rFonts w:ascii="Palatino Linotype" w:hAnsi="Palatino Linotype"/>
          <w:sz w:val="24"/>
          <w:szCs w:val="24"/>
          <w:lang w:eastAsia="ru-RU"/>
        </w:rPr>
        <w:t xml:space="preserve">  ------------------------------------------------------------------ </w:t>
      </w:r>
    </w:p>
    <w:p w:rsidR="00F107FC" w:rsidRPr="008D4386" w:rsidRDefault="00F107FC" w:rsidP="00AF1E91">
      <w:pPr>
        <w:rPr>
          <w:rFonts w:ascii="Palatino Linotype" w:hAnsi="Palatino Linotype"/>
        </w:rPr>
      </w:pPr>
    </w:p>
    <w:sectPr w:rsidR="00F107FC" w:rsidRPr="008D4386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E0" w:rsidRDefault="00BA51E0">
      <w:r>
        <w:separator/>
      </w:r>
    </w:p>
  </w:endnote>
  <w:endnote w:type="continuationSeparator" w:id="0">
    <w:p w:rsidR="00BA51E0" w:rsidRDefault="00BA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E0" w:rsidRDefault="00BA51E0">
      <w:r>
        <w:separator/>
      </w:r>
    </w:p>
  </w:footnote>
  <w:footnote w:type="continuationSeparator" w:id="0">
    <w:p w:rsidR="00BA51E0" w:rsidRDefault="00BA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40"/>
  </w:num>
  <w:num w:numId="4">
    <w:abstractNumId w:val="39"/>
  </w:num>
  <w:num w:numId="5">
    <w:abstractNumId w:val="4"/>
  </w:num>
  <w:num w:numId="6">
    <w:abstractNumId w:val="20"/>
  </w:num>
  <w:num w:numId="7">
    <w:abstractNumId w:val="37"/>
  </w:num>
  <w:num w:numId="8">
    <w:abstractNumId w:val="19"/>
  </w:num>
  <w:num w:numId="9">
    <w:abstractNumId w:val="18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25"/>
  </w:num>
  <w:num w:numId="17">
    <w:abstractNumId w:val="35"/>
  </w:num>
  <w:num w:numId="18">
    <w:abstractNumId w:val="31"/>
  </w:num>
  <w:num w:numId="19">
    <w:abstractNumId w:val="24"/>
  </w:num>
  <w:num w:numId="20">
    <w:abstractNumId w:val="3"/>
  </w:num>
  <w:num w:numId="21">
    <w:abstractNumId w:val="28"/>
  </w:num>
  <w:num w:numId="22">
    <w:abstractNumId w:val="6"/>
  </w:num>
  <w:num w:numId="23">
    <w:abstractNumId w:val="33"/>
  </w:num>
  <w:num w:numId="24">
    <w:abstractNumId w:val="43"/>
  </w:num>
  <w:num w:numId="25">
    <w:abstractNumId w:val="21"/>
  </w:num>
  <w:num w:numId="26">
    <w:abstractNumId w:val="17"/>
  </w:num>
  <w:num w:numId="27">
    <w:abstractNumId w:val="22"/>
  </w:num>
  <w:num w:numId="28">
    <w:abstractNumId w:val="27"/>
  </w:num>
  <w:num w:numId="29">
    <w:abstractNumId w:val="34"/>
  </w:num>
  <w:num w:numId="30">
    <w:abstractNumId w:val="1"/>
  </w:num>
  <w:num w:numId="31">
    <w:abstractNumId w:val="13"/>
  </w:num>
  <w:num w:numId="32">
    <w:abstractNumId w:val="16"/>
  </w:num>
  <w:num w:numId="33">
    <w:abstractNumId w:val="41"/>
  </w:num>
  <w:num w:numId="34">
    <w:abstractNumId w:val="5"/>
  </w:num>
  <w:num w:numId="35">
    <w:abstractNumId w:val="32"/>
  </w:num>
  <w:num w:numId="36">
    <w:abstractNumId w:val="15"/>
  </w:num>
  <w:num w:numId="37">
    <w:abstractNumId w:val="9"/>
  </w:num>
  <w:num w:numId="38">
    <w:abstractNumId w:val="38"/>
  </w:num>
  <w:num w:numId="39">
    <w:abstractNumId w:val="7"/>
  </w:num>
  <w:num w:numId="40">
    <w:abstractNumId w:val="23"/>
  </w:num>
  <w:num w:numId="41">
    <w:abstractNumId w:val="2"/>
  </w:num>
  <w:num w:numId="42">
    <w:abstractNumId w:val="42"/>
  </w:num>
  <w:num w:numId="43">
    <w:abstractNumId w:val="26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454AD"/>
    <w:rsid w:val="007A42ED"/>
    <w:rsid w:val="007D49BD"/>
    <w:rsid w:val="008009FD"/>
    <w:rsid w:val="008111C8"/>
    <w:rsid w:val="00832F6E"/>
    <w:rsid w:val="00843C92"/>
    <w:rsid w:val="008D341C"/>
    <w:rsid w:val="008D4386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BA51E0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2026-01-16T22:57:00Z</cp:lastPrinted>
  <dcterms:created xsi:type="dcterms:W3CDTF">2026-01-16T22:57:00Z</dcterms:created>
  <dcterms:modified xsi:type="dcterms:W3CDTF">2026-01-16T22:57:00Z</dcterms:modified>
</cp:coreProperties>
</file>