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9"/>
        <w:ind w:left="0" w:right="282" w:firstLine="0"/>
        <w:jc w:val="right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349288</wp:posOffset>
            </wp:positionH>
            <wp:positionV relativeFrom="paragraph">
              <wp:posOffset>-6312</wp:posOffset>
            </wp:positionV>
            <wp:extent cx="314452" cy="31445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52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79017_2467980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50"/>
        <w:ind w:left="0" w:firstLine="0"/>
        <w:jc w:val="left"/>
      </w:pPr>
    </w:p>
    <w:p>
      <w:pPr>
        <w:pStyle w:val="Title"/>
      </w:pPr>
      <w:r>
        <w:rPr/>
        <w:t>ВЕРХОВНЫЙ СУД РОССИЙСКОЙ</w:t>
      </w:r>
      <w:r>
        <w:rPr>
          <w:spacing w:val="-28"/>
        </w:rPr>
        <w:t> </w:t>
      </w:r>
      <w:r>
        <w:rPr/>
        <w:t>ФЕДЕРАЦИИ</w:t>
      </w:r>
    </w:p>
    <w:p>
      <w:pPr>
        <w:pStyle w:val="BodyText"/>
        <w:spacing w:before="113"/>
        <w:ind w:left="0" w:right="537" w:firstLine="0"/>
        <w:jc w:val="right"/>
      </w:pPr>
      <w:r>
        <w:rPr/>
        <w:t>№</w:t>
      </w:r>
      <w:r>
        <w:rPr>
          <w:spacing w:val="-9"/>
        </w:rPr>
        <w:t> </w:t>
      </w:r>
      <w:r>
        <w:rPr/>
        <w:t>310-ЭС25-</w:t>
      </w:r>
      <w:r>
        <w:rPr>
          <w:spacing w:val="-2"/>
        </w:rPr>
        <w:t>11008</w:t>
      </w:r>
    </w:p>
    <w:p>
      <w:pPr>
        <w:pStyle w:val="BodyText"/>
        <w:spacing w:before="121"/>
        <w:ind w:left="0" w:firstLine="0"/>
        <w:jc w:val="left"/>
      </w:pPr>
    </w:p>
    <w:p>
      <w:pPr>
        <w:spacing w:before="1"/>
        <w:ind w:left="738" w:right="0" w:firstLine="0"/>
        <w:jc w:val="center"/>
        <w:rPr>
          <w:b/>
          <w:sz w:val="36"/>
        </w:rPr>
      </w:pPr>
      <w:r>
        <w:rPr>
          <w:b/>
          <w:sz w:val="36"/>
        </w:rPr>
        <w:t>О</w:t>
      </w:r>
      <w:r>
        <w:rPr>
          <w:b/>
          <w:spacing w:val="-11"/>
          <w:sz w:val="36"/>
        </w:rPr>
        <w:t> </w:t>
      </w:r>
      <w:r>
        <w:rPr>
          <w:b/>
          <w:sz w:val="36"/>
        </w:rPr>
        <w:t>П</w:t>
      </w:r>
      <w:r>
        <w:rPr>
          <w:b/>
          <w:spacing w:val="-11"/>
          <w:sz w:val="36"/>
        </w:rPr>
        <w:t> </w:t>
      </w:r>
      <w:r>
        <w:rPr>
          <w:b/>
          <w:sz w:val="36"/>
        </w:rPr>
        <w:t>Р</w:t>
      </w:r>
      <w:r>
        <w:rPr>
          <w:b/>
          <w:spacing w:val="-16"/>
          <w:sz w:val="36"/>
        </w:rPr>
        <w:t> </w:t>
      </w:r>
      <w:r>
        <w:rPr>
          <w:b/>
          <w:sz w:val="36"/>
        </w:rPr>
        <w:t>Е</w:t>
      </w:r>
      <w:r>
        <w:rPr>
          <w:b/>
          <w:spacing w:val="-11"/>
          <w:sz w:val="36"/>
        </w:rPr>
        <w:t> </w:t>
      </w:r>
      <w:r>
        <w:rPr>
          <w:b/>
          <w:sz w:val="36"/>
        </w:rPr>
        <w:t>Д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Е</w:t>
      </w:r>
      <w:r>
        <w:rPr>
          <w:b/>
          <w:spacing w:val="-16"/>
          <w:sz w:val="36"/>
        </w:rPr>
        <w:t> </w:t>
      </w:r>
      <w:r>
        <w:rPr>
          <w:b/>
          <w:sz w:val="36"/>
        </w:rPr>
        <w:t>Л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Е</w:t>
      </w:r>
      <w:r>
        <w:rPr>
          <w:b/>
          <w:spacing w:val="-11"/>
          <w:sz w:val="36"/>
        </w:rPr>
        <w:t> </w:t>
      </w:r>
      <w:r>
        <w:rPr>
          <w:b/>
          <w:sz w:val="36"/>
        </w:rPr>
        <w:t>Н</w:t>
      </w:r>
      <w:r>
        <w:rPr>
          <w:b/>
          <w:spacing w:val="-11"/>
          <w:sz w:val="36"/>
        </w:rPr>
        <w:t> </w:t>
      </w:r>
      <w:r>
        <w:rPr>
          <w:b/>
          <w:sz w:val="36"/>
        </w:rPr>
        <w:t>И</w:t>
      </w:r>
      <w:r>
        <w:rPr>
          <w:b/>
          <w:spacing w:val="-11"/>
          <w:sz w:val="36"/>
        </w:rPr>
        <w:t> </w:t>
      </w:r>
      <w:r>
        <w:rPr>
          <w:b/>
          <w:spacing w:val="-10"/>
          <w:sz w:val="36"/>
        </w:rPr>
        <w:t>Е</w:t>
      </w:r>
    </w:p>
    <w:p>
      <w:pPr>
        <w:pStyle w:val="BodyText"/>
        <w:tabs>
          <w:tab w:pos="7790" w:val="left" w:leader="none"/>
        </w:tabs>
        <w:spacing w:before="321"/>
        <w:ind w:left="857" w:firstLine="0"/>
        <w:jc w:val="center"/>
      </w:pPr>
      <w:r>
        <w:rPr/>
        <w:t>г. </w:t>
      </w:r>
      <w:r>
        <w:rPr>
          <w:spacing w:val="-2"/>
        </w:rPr>
        <w:t>Москва</w:t>
      </w:r>
      <w:r>
        <w:rPr/>
        <w:tab/>
        <w:t>Дело</w:t>
      </w:r>
      <w:r>
        <w:rPr>
          <w:spacing w:val="-4"/>
        </w:rPr>
        <w:t> </w:t>
      </w:r>
      <w:r>
        <w:rPr/>
        <w:t>№</w:t>
      </w:r>
      <w:r>
        <w:rPr>
          <w:spacing w:val="-1"/>
        </w:rPr>
        <w:t> </w:t>
      </w:r>
      <w:r>
        <w:rPr/>
        <w:t>А14-</w:t>
      </w:r>
      <w:r>
        <w:rPr>
          <w:spacing w:val="-2"/>
        </w:rPr>
        <w:t>7449/2024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119"/>
        <w:ind w:left="0" w:firstLine="0"/>
        <w:jc w:val="left"/>
      </w:pPr>
    </w:p>
    <w:p>
      <w:pPr>
        <w:pStyle w:val="BodyText"/>
        <w:ind w:left="1811" w:right="660" w:firstLine="0"/>
        <w:jc w:val="left"/>
      </w:pPr>
      <w:r>
        <w:rPr/>
        <w:t>Резолютивная</w:t>
      </w:r>
      <w:r>
        <w:rPr>
          <w:spacing w:val="-5"/>
        </w:rPr>
        <w:t> </w:t>
      </w:r>
      <w:r>
        <w:rPr/>
        <w:t>часть</w:t>
      </w:r>
      <w:r>
        <w:rPr>
          <w:spacing w:val="-4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объявлена</w:t>
      </w:r>
      <w:r>
        <w:rPr>
          <w:spacing w:val="-2"/>
        </w:rPr>
        <w:t> </w:t>
      </w:r>
      <w:r>
        <w:rPr/>
        <w:t>28</w:t>
      </w:r>
      <w:r>
        <w:rPr>
          <w:spacing w:val="-5"/>
        </w:rPr>
        <w:t> </w:t>
      </w:r>
      <w:r>
        <w:rPr/>
        <w:t>января</w:t>
      </w:r>
      <w:r>
        <w:rPr>
          <w:spacing w:val="-4"/>
        </w:rPr>
        <w:t> </w:t>
      </w:r>
      <w:r>
        <w:rPr/>
        <w:t>2026</w:t>
      </w:r>
      <w:r>
        <w:rPr>
          <w:spacing w:val="-5"/>
        </w:rPr>
        <w:t> </w:t>
      </w:r>
      <w:r>
        <w:rPr/>
        <w:t>г. Полный текст определения изготовлен 30 января 2026 г.</w:t>
      </w:r>
    </w:p>
    <w:p>
      <w:pPr>
        <w:pStyle w:val="BodyText"/>
        <w:spacing w:line="362" w:lineRule="auto" w:before="321"/>
        <w:ind w:right="142" w:firstLine="850"/>
      </w:pPr>
      <w:r>
        <w:rPr/>
        <w:t>Судебная коллегия по экономическим спорам Верховного Суда Российской Федерации в составе:</w:t>
      </w:r>
    </w:p>
    <w:p>
      <w:pPr>
        <w:pStyle w:val="BodyText"/>
        <w:spacing w:line="362" w:lineRule="auto"/>
        <w:ind w:left="1706" w:right="3612" w:firstLine="0"/>
      </w:pPr>
      <w:r>
        <w:rPr/>
        <w:t>председательствующего</w:t>
      </w:r>
      <w:r>
        <w:rPr>
          <w:spacing w:val="-16"/>
        </w:rPr>
        <w:t> </w:t>
      </w:r>
      <w:r>
        <w:rPr/>
        <w:t>судьи</w:t>
      </w:r>
      <w:r>
        <w:rPr>
          <w:spacing w:val="-17"/>
        </w:rPr>
        <w:t> </w:t>
      </w:r>
      <w:r>
        <w:rPr/>
        <w:t>Якимова</w:t>
      </w:r>
      <w:r>
        <w:rPr>
          <w:spacing w:val="-13"/>
        </w:rPr>
        <w:t> </w:t>
      </w:r>
      <w:r>
        <w:rPr/>
        <w:t>А.А., судей Антоновой М.К., Завьяловой Т.В.</w:t>
      </w:r>
    </w:p>
    <w:p>
      <w:pPr>
        <w:pStyle w:val="BodyText"/>
        <w:spacing w:line="360" w:lineRule="auto"/>
        <w:ind w:right="145"/>
      </w:pPr>
      <w:r>
        <w:rPr/>
        <w:t>рассмотрела в открытом судебном заседании дело по кассационной жалобе Управления Федеральной антимонопольной службы по Воронежской области на постановление Арбитражного суда Центрального округа от 18 июля 2025г. по делу № А14-7449/2024 Арбитражного суда Воронежской области</w:t>
      </w:r>
    </w:p>
    <w:p>
      <w:pPr>
        <w:pStyle w:val="BodyText"/>
        <w:spacing w:line="360" w:lineRule="auto"/>
        <w:ind w:right="134"/>
      </w:pPr>
      <w:r>
        <w:rPr/>
        <w:t>по заявлению открытого акционерного общества «Газпром газораспределение Воронеж» о признании незаконными и отмене</w:t>
      </w:r>
      <w:r>
        <w:rPr>
          <w:spacing w:val="40"/>
        </w:rPr>
        <w:t> </w:t>
      </w:r>
      <w:r>
        <w:rPr/>
        <w:t>решения и предписания Управления Федеральной антимонопольной службы по Воронежской области от 11 апреля 2024 г. № 036/07/3-409/2024,</w:t>
      </w:r>
    </w:p>
    <w:p>
      <w:pPr>
        <w:pStyle w:val="BodyText"/>
        <w:spacing w:line="360" w:lineRule="auto"/>
        <w:ind w:right="139"/>
      </w:pPr>
      <w:r>
        <w:rPr/>
        <w:t>при участии в деле в качестве третьих лиц, не заявляющих самостоятельных требований относительно предмета спора, общества с ограниченной ответственностью «Катод Защита» и общества с ограниченной ответственностью «Антэкс».</w:t>
      </w:r>
    </w:p>
    <w:p>
      <w:pPr>
        <w:pStyle w:val="BodyText"/>
        <w:spacing w:after="0" w:line="360" w:lineRule="auto"/>
        <w:sectPr>
          <w:type w:val="continuous"/>
          <w:pgSz w:w="11910" w:h="16840"/>
          <w:pgMar w:top="560" w:bottom="280" w:left="425" w:right="708"/>
        </w:sectPr>
      </w:pPr>
    </w:p>
    <w:p>
      <w:pPr>
        <w:pStyle w:val="BodyText"/>
        <w:spacing w:before="133"/>
        <w:ind w:left="1846" w:firstLine="0"/>
      </w:pPr>
      <w:r>
        <w:rPr/>
        <w:t>В</w:t>
      </w:r>
      <w:r>
        <w:rPr>
          <w:spacing w:val="-8"/>
        </w:rPr>
        <w:t> </w:t>
      </w:r>
      <w:r>
        <w:rPr/>
        <w:t>судебном</w:t>
      </w:r>
      <w:r>
        <w:rPr>
          <w:spacing w:val="-2"/>
        </w:rPr>
        <w:t> </w:t>
      </w:r>
      <w:r>
        <w:rPr/>
        <w:t>заседании</w:t>
      </w:r>
      <w:r>
        <w:rPr>
          <w:spacing w:val="-5"/>
        </w:rPr>
        <w:t> </w:t>
      </w:r>
      <w:r>
        <w:rPr/>
        <w:t>приняли</w:t>
      </w:r>
      <w:r>
        <w:rPr>
          <w:spacing w:val="-5"/>
        </w:rPr>
        <w:t> </w:t>
      </w:r>
      <w:r>
        <w:rPr/>
        <w:t>участие</w:t>
      </w:r>
      <w:r>
        <w:rPr>
          <w:spacing w:val="-3"/>
        </w:rPr>
        <w:t> </w:t>
      </w:r>
      <w:r>
        <w:rPr>
          <w:spacing w:val="-2"/>
        </w:rPr>
        <w:t>представители:</w:t>
      </w:r>
    </w:p>
    <w:p>
      <w:pPr>
        <w:pStyle w:val="BodyText"/>
        <w:spacing w:line="360" w:lineRule="auto" w:before="158"/>
        <w:ind w:right="134" w:firstLine="850"/>
      </w:pPr>
      <w:r>
        <w:rPr/>
        <w:t>от</w:t>
      </w:r>
      <w:r>
        <w:rPr>
          <w:spacing w:val="40"/>
        </w:rPr>
        <w:t> </w:t>
      </w:r>
      <w:r>
        <w:rPr/>
        <w:t>Управления</w:t>
      </w:r>
      <w:r>
        <w:rPr>
          <w:spacing w:val="-1"/>
        </w:rPr>
        <w:t> </w:t>
      </w:r>
      <w:r>
        <w:rPr/>
        <w:t>Федеральной</w:t>
      </w:r>
      <w:r>
        <w:rPr>
          <w:spacing w:val="-1"/>
        </w:rPr>
        <w:t> </w:t>
      </w:r>
      <w:r>
        <w:rPr/>
        <w:t>антимонопольной</w:t>
      </w:r>
      <w:r>
        <w:rPr>
          <w:spacing w:val="-1"/>
        </w:rPr>
        <w:t> </w:t>
      </w:r>
      <w:r>
        <w:rPr/>
        <w:t>службы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Воронежской области – Волкова И.Н., Джафаров Ш.М., Цакоев Х.В.,; посредством использования</w:t>
      </w:r>
      <w:r>
        <w:rPr>
          <w:spacing w:val="80"/>
          <w:w w:val="150"/>
        </w:rPr>
        <w:t> </w:t>
      </w:r>
      <w:r>
        <w:rPr/>
        <w:t>системы</w:t>
      </w:r>
      <w:r>
        <w:rPr>
          <w:spacing w:val="80"/>
          <w:w w:val="150"/>
        </w:rPr>
        <w:t> </w:t>
      </w:r>
      <w:r>
        <w:rPr/>
        <w:t>видеоконференц-связи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Артамонов</w:t>
      </w:r>
      <w:r>
        <w:rPr>
          <w:spacing w:val="80"/>
          <w:w w:val="150"/>
        </w:rPr>
        <w:t> </w:t>
      </w:r>
      <w:r>
        <w:rPr/>
        <w:t>Д.И., Колмаков Р.В.;</w:t>
      </w:r>
    </w:p>
    <w:p>
      <w:pPr>
        <w:pStyle w:val="BodyText"/>
        <w:spacing w:line="357" w:lineRule="auto" w:before="3"/>
        <w:ind w:right="139" w:firstLine="850"/>
      </w:pPr>
      <w:r>
        <w:rPr/>
        <w:t>от открытого акционерного общества «Газпром газораспределение Воронеж» – Дажиба С.В.Куклина Л.В., Федорова О.В.;</w:t>
      </w:r>
    </w:p>
    <w:p>
      <w:pPr>
        <w:pStyle w:val="BodyText"/>
        <w:spacing w:line="362" w:lineRule="auto" w:before="6"/>
        <w:ind w:right="135" w:firstLine="850"/>
      </w:pPr>
      <w:r>
        <w:rPr/>
        <w:t>от общества с ограниченной ответственностью «Катод Защита» – Макарова Ю.С.</w:t>
      </w:r>
    </w:p>
    <w:p>
      <w:pPr>
        <w:pStyle w:val="BodyText"/>
        <w:spacing w:line="360" w:lineRule="auto"/>
        <w:ind w:right="136" w:firstLine="850"/>
      </w:pPr>
      <w:r>
        <w:rPr/>
        <w:t>Заслушав доклад судьи Верховного Суда Российской Федерации Завьяловой Т.В., выслушав представителей участвующих в деле лиц, Судебная коллегия по экономическим спорам Верховного Суда Российской Федерации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71"/>
        <w:ind w:left="0" w:firstLine="0"/>
        <w:jc w:val="left"/>
      </w:pPr>
    </w:p>
    <w:p>
      <w:pPr>
        <w:pStyle w:val="BodyText"/>
        <w:ind w:left="5102" w:firstLine="0"/>
        <w:jc w:val="left"/>
      </w:pPr>
      <w:r>
        <w:rPr>
          <w:spacing w:val="-2"/>
          <w:w w:val="150"/>
        </w:rPr>
        <w:t>установила: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244"/>
        <w:ind w:left="0" w:firstLine="0"/>
        <w:jc w:val="left"/>
      </w:pPr>
    </w:p>
    <w:p>
      <w:pPr>
        <w:pStyle w:val="BodyText"/>
        <w:spacing w:line="360" w:lineRule="auto"/>
        <w:ind w:right="130"/>
      </w:pPr>
      <w:r>
        <w:rPr/>
        <w:t>открытое акционерное общество «Газпром газораспределение Воронеж» (далее – общество, заказчик, ОАО «Газпром газораспределение Воронеж») обратилось в Арбитражный суд Воронежской области с заявлением о</w:t>
      </w:r>
      <w:r>
        <w:rPr>
          <w:spacing w:val="40"/>
        </w:rPr>
        <w:t> </w:t>
      </w:r>
      <w:r>
        <w:rPr/>
        <w:t>признании незаконными решения и предписания Управления Федеральной антимонопольной службы по Воронежской области (далее – управление, антимонопольный орган) от 11 апреля 2024 г. № 036/07/3-409/2024.</w:t>
      </w:r>
    </w:p>
    <w:p>
      <w:pPr>
        <w:pStyle w:val="BodyText"/>
        <w:tabs>
          <w:tab w:pos="2195" w:val="left" w:leader="none"/>
          <w:tab w:pos="2385" w:val="left" w:leader="none"/>
          <w:tab w:pos="2764" w:val="left" w:leader="none"/>
          <w:tab w:pos="3323" w:val="left" w:leader="none"/>
          <w:tab w:pos="3504" w:val="left" w:leader="none"/>
          <w:tab w:pos="3939" w:val="left" w:leader="none"/>
          <w:tab w:pos="4694" w:val="left" w:leader="none"/>
          <w:tab w:pos="4768" w:val="left" w:leader="none"/>
          <w:tab w:pos="4947" w:val="left" w:leader="none"/>
          <w:tab w:pos="5203" w:val="left" w:leader="none"/>
          <w:tab w:pos="6531" w:val="left" w:leader="none"/>
          <w:tab w:pos="6836" w:val="left" w:leader="none"/>
          <w:tab w:pos="7117" w:val="left" w:leader="none"/>
          <w:tab w:pos="7761" w:val="left" w:leader="none"/>
          <w:tab w:pos="8191" w:val="left" w:leader="none"/>
          <w:tab w:pos="8222" w:val="left" w:leader="none"/>
          <w:tab w:pos="8571" w:val="left" w:leader="none"/>
          <w:tab w:pos="9145" w:val="left" w:leader="none"/>
          <w:tab w:pos="9195" w:val="left" w:leader="none"/>
          <w:tab w:pos="9493" w:val="left" w:leader="none"/>
          <w:tab w:pos="10499" w:val="left" w:leader="none"/>
        </w:tabs>
        <w:spacing w:line="360" w:lineRule="auto"/>
        <w:ind w:right="130"/>
        <w:jc w:val="right"/>
      </w:pPr>
      <w:r>
        <w:rPr>
          <w:spacing w:val="-10"/>
        </w:rPr>
        <w:t>К</w:t>
      </w:r>
      <w:r>
        <w:rPr/>
        <w:tab/>
      </w:r>
      <w:r>
        <w:rPr>
          <w:spacing w:val="-2"/>
        </w:rPr>
        <w:t>участию</w:t>
      </w:r>
      <w:r>
        <w:rPr/>
        <w:tab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деле</w:t>
      </w:r>
      <w:r>
        <w:rPr/>
        <w:tab/>
        <w:tab/>
      </w:r>
      <w:r>
        <w:rPr>
          <w:spacing w:val="-10"/>
        </w:rPr>
        <w:t>в</w:t>
      </w:r>
      <w:r>
        <w:rPr/>
        <w:tab/>
        <w:tab/>
      </w:r>
      <w:r>
        <w:rPr>
          <w:spacing w:val="-2"/>
        </w:rPr>
        <w:t>качестве</w:t>
      </w:r>
      <w:r>
        <w:rPr/>
        <w:tab/>
      </w:r>
      <w:r>
        <w:rPr>
          <w:spacing w:val="-2"/>
        </w:rPr>
        <w:t>третьих</w:t>
      </w:r>
      <w:r>
        <w:rPr/>
        <w:tab/>
      </w:r>
      <w:r>
        <w:rPr>
          <w:spacing w:val="-4"/>
        </w:rPr>
        <w:t>лиц,</w:t>
      </w:r>
      <w:r>
        <w:rPr/>
        <w:tab/>
      </w:r>
      <w:r>
        <w:rPr>
          <w:spacing w:val="-6"/>
        </w:rPr>
        <w:t>не</w:t>
      </w:r>
      <w:r>
        <w:rPr/>
        <w:tab/>
      </w:r>
      <w:r>
        <w:rPr>
          <w:spacing w:val="-2"/>
        </w:rPr>
        <w:t>заявляющих самостоятельных</w:t>
      </w:r>
      <w:r>
        <w:rPr/>
        <w:tab/>
      </w:r>
      <w:r>
        <w:rPr>
          <w:spacing w:val="-2"/>
        </w:rPr>
        <w:t>требований</w:t>
      </w:r>
      <w:r>
        <w:rPr/>
        <w:tab/>
        <w:tab/>
        <w:tab/>
      </w:r>
      <w:r>
        <w:rPr>
          <w:spacing w:val="-2"/>
        </w:rPr>
        <w:t>относительно</w:t>
      </w:r>
      <w:r>
        <w:rPr/>
        <w:tab/>
      </w:r>
      <w:r>
        <w:rPr>
          <w:spacing w:val="-2"/>
        </w:rPr>
        <w:t>предмета</w:t>
      </w:r>
      <w:r>
        <w:rPr/>
        <w:tab/>
      </w:r>
      <w:r>
        <w:rPr>
          <w:spacing w:val="-2"/>
        </w:rPr>
        <w:t>спора,</w:t>
      </w:r>
      <w:r>
        <w:rPr/>
        <w:tab/>
        <w:tab/>
      </w:r>
      <w:r>
        <w:rPr>
          <w:spacing w:val="-2"/>
        </w:rPr>
        <w:t>привлечены общество</w:t>
      </w:r>
      <w:r>
        <w:rPr/>
        <w:tab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ограниченной</w:t>
      </w:r>
      <w:r>
        <w:rPr/>
        <w:tab/>
      </w:r>
      <w:r>
        <w:rPr>
          <w:spacing w:val="-2"/>
        </w:rPr>
        <w:t>ответственностью</w:t>
      </w:r>
      <w:r>
        <w:rPr/>
        <w:tab/>
        <w:tab/>
      </w:r>
      <w:r>
        <w:rPr>
          <w:spacing w:val="-2"/>
        </w:rPr>
        <w:t>«Катод</w:t>
      </w:r>
      <w:r>
        <w:rPr/>
        <w:tab/>
        <w:tab/>
      </w:r>
      <w:r>
        <w:rPr>
          <w:spacing w:val="-2"/>
        </w:rPr>
        <w:t>Защита»</w:t>
      </w:r>
      <w:r>
        <w:rPr/>
        <w:tab/>
      </w:r>
      <w:r>
        <w:rPr>
          <w:spacing w:val="-2"/>
        </w:rPr>
        <w:t>(далее</w:t>
      </w:r>
      <w:r>
        <w:rPr/>
        <w:tab/>
      </w:r>
      <w:r>
        <w:rPr>
          <w:spacing w:val="-10"/>
        </w:rPr>
        <w:t>– </w:t>
      </w:r>
      <w:r>
        <w:rPr/>
        <w:t>ООО</w:t>
      </w:r>
      <w:r>
        <w:rPr>
          <w:spacing w:val="-2"/>
        </w:rPr>
        <w:t> </w:t>
      </w:r>
      <w:r>
        <w:rPr/>
        <w:t>«Катод Защита») и общество с ограниченной ответственностью «Антэкс». Решением</w:t>
      </w:r>
      <w:r>
        <w:rPr>
          <w:spacing w:val="80"/>
        </w:rPr>
        <w:t> </w:t>
      </w:r>
      <w:r>
        <w:rPr/>
        <w:t>Арбитражного</w:t>
      </w:r>
      <w:r>
        <w:rPr>
          <w:spacing w:val="80"/>
        </w:rPr>
        <w:t> </w:t>
      </w:r>
      <w:r>
        <w:rPr/>
        <w:t>суда</w:t>
      </w:r>
      <w:r>
        <w:rPr>
          <w:spacing w:val="80"/>
        </w:rPr>
        <w:t> </w:t>
      </w:r>
      <w:r>
        <w:rPr/>
        <w:t>Воронежской</w:t>
      </w:r>
      <w:r>
        <w:rPr>
          <w:spacing w:val="80"/>
        </w:rPr>
        <w:t> </w:t>
      </w:r>
      <w:r>
        <w:rPr/>
        <w:t>области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80"/>
        </w:rPr>
        <w:t> </w:t>
      </w:r>
      <w:r>
        <w:rPr/>
        <w:t>16</w:t>
      </w:r>
      <w:r>
        <w:rPr>
          <w:spacing w:val="80"/>
        </w:rPr>
        <w:t> </w:t>
      </w:r>
      <w:r>
        <w:rPr/>
        <w:t>сентября</w:t>
      </w:r>
    </w:p>
    <w:p>
      <w:pPr>
        <w:pStyle w:val="BodyText"/>
        <w:ind w:firstLine="0"/>
        <w:jc w:val="left"/>
      </w:pPr>
      <w:r>
        <w:rPr/>
        <w:t>2024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требование</w:t>
      </w:r>
      <w:r>
        <w:rPr>
          <w:spacing w:val="-4"/>
        </w:rPr>
        <w:t> </w:t>
      </w:r>
      <w:r>
        <w:rPr/>
        <w:t>общества</w:t>
      </w:r>
      <w:r>
        <w:rPr>
          <w:spacing w:val="2"/>
        </w:rPr>
        <w:t> </w:t>
      </w:r>
      <w:r>
        <w:rPr>
          <w:spacing w:val="-2"/>
        </w:rPr>
        <w:t>удовлетворено.</w:t>
      </w:r>
    </w:p>
    <w:p>
      <w:pPr>
        <w:pStyle w:val="BodyText"/>
        <w:spacing w:after="0"/>
        <w:jc w:val="left"/>
        <w:sectPr>
          <w:headerReference w:type="default" r:id="rId6"/>
          <w:pgSz w:w="11910" w:h="16840"/>
          <w:pgMar w:header="681" w:footer="0" w:top="980" w:bottom="280" w:left="425" w:right="708"/>
          <w:pgNumType w:start="2"/>
        </w:sectPr>
      </w:pPr>
    </w:p>
    <w:p>
      <w:pPr>
        <w:pStyle w:val="BodyText"/>
        <w:spacing w:line="360" w:lineRule="auto" w:before="133"/>
        <w:ind w:right="138"/>
      </w:pPr>
      <w:r>
        <w:rPr/>
        <w:t>Постановлением</w:t>
      </w:r>
      <w:r>
        <w:rPr>
          <w:spacing w:val="80"/>
        </w:rPr>
        <w:t> </w:t>
      </w:r>
      <w:r>
        <w:rPr/>
        <w:t>Девятнадцатого</w:t>
      </w:r>
      <w:r>
        <w:rPr>
          <w:spacing w:val="80"/>
        </w:rPr>
        <w:t> </w:t>
      </w:r>
      <w:r>
        <w:rPr/>
        <w:t>арбитражного</w:t>
      </w:r>
      <w:r>
        <w:rPr>
          <w:spacing w:val="80"/>
        </w:rPr>
        <w:t> </w:t>
      </w:r>
      <w:r>
        <w:rPr/>
        <w:t>апелляционного</w:t>
      </w:r>
      <w:r>
        <w:rPr>
          <w:spacing w:val="80"/>
        </w:rPr>
        <w:t> </w:t>
      </w:r>
      <w:r>
        <w:rPr/>
        <w:t>суда от 28 февраля 2025 г. решение суда первой инстанции отменено, в удовлетворении заявленного заказчиком требования отказано.</w:t>
      </w:r>
    </w:p>
    <w:p>
      <w:pPr>
        <w:pStyle w:val="BodyText"/>
        <w:spacing w:line="360" w:lineRule="auto" w:before="1"/>
        <w:ind w:right="143"/>
      </w:pPr>
      <w:r>
        <w:rPr/>
        <w:t>Арбитражный</w:t>
      </w:r>
      <w:r>
        <w:rPr>
          <w:spacing w:val="40"/>
        </w:rPr>
        <w:t> </w:t>
      </w:r>
      <w:r>
        <w:rPr/>
        <w:t>суд</w:t>
      </w:r>
      <w:r>
        <w:rPr>
          <w:spacing w:val="40"/>
        </w:rPr>
        <w:t> </w:t>
      </w:r>
      <w:r>
        <w:rPr/>
        <w:t>Центрального</w:t>
      </w:r>
      <w:r>
        <w:rPr>
          <w:spacing w:val="40"/>
        </w:rPr>
        <w:t> </w:t>
      </w:r>
      <w:r>
        <w:rPr/>
        <w:t>округа</w:t>
      </w:r>
      <w:r>
        <w:rPr>
          <w:spacing w:val="40"/>
        </w:rPr>
        <w:t> </w:t>
      </w:r>
      <w:r>
        <w:rPr/>
        <w:t>постановлением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18</w:t>
      </w:r>
      <w:r>
        <w:rPr>
          <w:spacing w:val="40"/>
        </w:rPr>
        <w:t> </w:t>
      </w:r>
      <w:r>
        <w:rPr/>
        <w:t>июля 2025 г. постановление суда апелляционной инстанции отменил, оставив в силе решение суда первой инстанции.</w:t>
      </w:r>
    </w:p>
    <w:p>
      <w:pPr>
        <w:pStyle w:val="BodyText"/>
        <w:spacing w:line="360" w:lineRule="auto"/>
        <w:ind w:right="135"/>
      </w:pPr>
      <w:r>
        <w:rPr/>
        <w:t>Управление обратилось в Судебную коллегию по экономическим спорам Верховного Суда Российской Федерации с кассационной жалобой, в которой просит отменить принятый по делу судебный акт суда кассационной</w:t>
      </w:r>
      <w:r>
        <w:rPr>
          <w:spacing w:val="40"/>
        </w:rPr>
        <w:t> </w:t>
      </w:r>
      <w:r>
        <w:rPr/>
        <w:t>инстанции, ссылаясь на существенные нарушения судом округа норм материального права.</w:t>
      </w:r>
    </w:p>
    <w:p>
      <w:pPr>
        <w:pStyle w:val="BodyText"/>
        <w:spacing w:line="360" w:lineRule="auto"/>
        <w:ind w:right="136"/>
      </w:pPr>
      <w:r>
        <w:rPr/>
        <w:t>Определением судьи Верховного Суда Российской Федерации</w:t>
      </w:r>
      <w:r>
        <w:rPr>
          <w:spacing w:val="80"/>
        </w:rPr>
        <w:t> </w:t>
      </w:r>
      <w:r>
        <w:rPr/>
        <w:t>Завьяловой Т.В. от 15 декабря 2025 г. жалоба антимонопольного органа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pStyle w:val="BodyText"/>
        <w:spacing w:line="360" w:lineRule="auto" w:before="1"/>
        <w:ind w:right="141"/>
      </w:pPr>
      <w:r>
        <w:rPr/>
        <w:t>В отзыве на кассационную жалобу общество</w:t>
      </w:r>
      <w:r>
        <w:rPr>
          <w:spacing w:val="40"/>
        </w:rPr>
        <w:t> </w:t>
      </w:r>
      <w:r>
        <w:rPr/>
        <w:t>возражает против позиции управления, настаивая на законности принятого по делу судебного акта суда кассационной инстанции.</w:t>
      </w:r>
    </w:p>
    <w:p>
      <w:pPr>
        <w:pStyle w:val="BodyText"/>
        <w:spacing w:line="360" w:lineRule="auto"/>
        <w:ind w:right="136"/>
      </w:pPr>
      <w:r>
        <w:rPr/>
        <w:t>Изучив</w:t>
      </w:r>
      <w:r>
        <w:rPr>
          <w:spacing w:val="40"/>
        </w:rPr>
        <w:t> </w:t>
      </w:r>
      <w:r>
        <w:rPr/>
        <w:t>материалы</w:t>
      </w:r>
      <w:r>
        <w:rPr>
          <w:spacing w:val="40"/>
        </w:rPr>
        <w:t> </w:t>
      </w:r>
      <w:r>
        <w:rPr/>
        <w:t>дела,</w:t>
      </w:r>
      <w:r>
        <w:rPr>
          <w:spacing w:val="40"/>
        </w:rPr>
        <w:t> </w:t>
      </w:r>
      <w:r>
        <w:rPr/>
        <w:t>проверив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положениями</w:t>
      </w:r>
      <w:r>
        <w:rPr>
          <w:spacing w:val="40"/>
        </w:rPr>
        <w:t> </w:t>
      </w:r>
      <w:r>
        <w:rPr/>
        <w:t>статьи 291</w:t>
      </w:r>
      <w:r>
        <w:rPr>
          <w:vertAlign w:val="superscript"/>
        </w:rPr>
        <w:t>14</w:t>
      </w:r>
      <w:r>
        <w:rPr>
          <w:vertAlign w:val="baseline"/>
        </w:rPr>
        <w:t> Арбитражного процессуального кодекса Российской Федерации законность обжалуемого судебного акта, Судебная коллегия по экономическим спорам Верховного Суда Российской Федерации находит жалобу управления подлежащей удовлетворению, а состоявшийся по делу судебный акт</w:t>
      </w:r>
      <w:r>
        <w:rPr>
          <w:spacing w:val="40"/>
          <w:vertAlign w:val="baseline"/>
        </w:rPr>
        <w:t> </w:t>
      </w:r>
      <w:r>
        <w:rPr>
          <w:vertAlign w:val="baseline"/>
        </w:rPr>
        <w:t>суда кассационной инстанции – отмене по следующим основаниям.</w:t>
      </w:r>
    </w:p>
    <w:p>
      <w:pPr>
        <w:pStyle w:val="BodyText"/>
        <w:spacing w:line="360" w:lineRule="auto"/>
        <w:ind w:right="128"/>
      </w:pPr>
      <w:r>
        <w:rPr/>
        <w:t>ОАО «Газпром газораспределение Воронеж» отнесено</w:t>
      </w:r>
      <w:r>
        <w:rPr>
          <w:spacing w:val="40"/>
        </w:rPr>
        <w:t> </w:t>
      </w:r>
      <w:r>
        <w:rPr/>
        <w:t>Федеральным законом от 18 июля 2011 г. № 223-ФЗ «О закупках товаров, работ, услуг отдельными видами юридических лиц» (далее – Закон о закупках) к числу хозяйственных обществ, закупка товаров, работ, услуг которых регулируется данным Законом.</w:t>
      </w:r>
    </w:p>
    <w:p>
      <w:pPr>
        <w:pStyle w:val="BodyText"/>
        <w:spacing w:after="0" w:line="360" w:lineRule="auto"/>
        <w:sectPr>
          <w:pgSz w:w="11910" w:h="16840"/>
          <w:pgMar w:header="681" w:footer="0" w:top="980" w:bottom="280" w:left="425" w:right="708"/>
        </w:sectPr>
      </w:pPr>
    </w:p>
    <w:p>
      <w:pPr>
        <w:pStyle w:val="BodyText"/>
        <w:spacing w:line="357" w:lineRule="auto" w:before="133"/>
        <w:ind w:right="133"/>
      </w:pPr>
      <w:r>
        <w:rPr/>
        <w:t>На общество распространяются положения, закрепленные в постановлении Правительства Российской Федерации от 6 марта 2022 г. № 301</w:t>
      </w:r>
    </w:p>
    <w:p>
      <w:pPr>
        <w:pStyle w:val="BodyText"/>
        <w:spacing w:line="360" w:lineRule="auto" w:before="5"/>
        <w:ind w:right="132" w:firstLine="0"/>
      </w:pPr>
      <w:r>
        <w:rPr/>
        <w:t>«Об основаниях неразмещения на официальном сайте единой информационной системы в сфере закупок товаров, работ, услуг для обеспечения государственных и муниципальных нужд в информационно- телекоммуникационной сети «Интернет» сведений о закупках товаров, работ, услуг, информации о поставщиках (подрядчиках, исполнителях), с которыми заключены договоры».</w:t>
      </w:r>
    </w:p>
    <w:p>
      <w:pPr>
        <w:pStyle w:val="BodyText"/>
        <w:spacing w:line="360" w:lineRule="auto" w:before="3"/>
        <w:ind w:right="133"/>
      </w:pPr>
      <w:r>
        <w:rPr/>
        <w:t>В</w:t>
      </w:r>
      <w:r>
        <w:rPr>
          <w:spacing w:val="80"/>
        </w:rPr>
        <w:t> </w:t>
      </w:r>
      <w:r>
        <w:rPr/>
        <w:t>соответствии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Положением</w:t>
      </w:r>
      <w:r>
        <w:rPr>
          <w:spacing w:val="80"/>
        </w:rPr>
        <w:t> </w:t>
      </w:r>
      <w:r>
        <w:rPr/>
        <w:t>о</w:t>
      </w:r>
      <w:r>
        <w:rPr>
          <w:spacing w:val="80"/>
        </w:rPr>
        <w:t> </w:t>
      </w:r>
      <w:r>
        <w:rPr/>
        <w:t>закупках</w:t>
      </w:r>
      <w:r>
        <w:rPr>
          <w:spacing w:val="80"/>
        </w:rPr>
        <w:t> </w:t>
      </w:r>
      <w:r>
        <w:rPr/>
        <w:t>товаров,</w:t>
      </w:r>
      <w:r>
        <w:rPr>
          <w:spacing w:val="80"/>
        </w:rPr>
        <w:t> </w:t>
      </w:r>
      <w:r>
        <w:rPr/>
        <w:t>работ,</w:t>
      </w:r>
      <w:r>
        <w:rPr>
          <w:spacing w:val="80"/>
        </w:rPr>
        <w:t> </w:t>
      </w:r>
      <w:r>
        <w:rPr/>
        <w:t>услуг (далее – Положение о закупках), ОАО «Газпром газораспределение Воронеж» опубликовало</w:t>
      </w:r>
      <w:r>
        <w:rPr>
          <w:spacing w:val="-2"/>
        </w:rPr>
        <w:t> </w:t>
      </w:r>
      <w:r>
        <w:rPr/>
        <w:t>21 марта</w:t>
      </w:r>
      <w:r>
        <w:rPr>
          <w:spacing w:val="-2"/>
        </w:rPr>
        <w:t> </w:t>
      </w:r>
      <w:r>
        <w:rPr/>
        <w:t>2024 г.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сайте</w:t>
      </w:r>
      <w:r>
        <w:rPr>
          <w:spacing w:val="-2"/>
        </w:rPr>
        <w:t> </w:t>
      </w:r>
      <w:r>
        <w:rPr/>
        <w:t>https://etpgpb.ru/,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ЕИС</w:t>
      </w:r>
      <w:r>
        <w:rPr>
          <w:spacing w:val="-4"/>
        </w:rPr>
        <w:t> </w:t>
      </w:r>
      <w:r>
        <w:rPr/>
        <w:t>(закрытая часть)</w:t>
      </w:r>
      <w:r>
        <w:rPr>
          <w:spacing w:val="40"/>
        </w:rPr>
        <w:t> </w:t>
      </w:r>
      <w:r>
        <w:rPr/>
        <w:t>извещение о проведении закрытых маркетинговых исследований в электронной форме с размещением информации в единой информационной системе на поставку смазочных материалов для нужд общества.</w:t>
      </w:r>
    </w:p>
    <w:p>
      <w:pPr>
        <w:pStyle w:val="BodyText"/>
        <w:spacing w:line="360" w:lineRule="auto"/>
        <w:ind w:right="135"/>
      </w:pPr>
      <w:r>
        <w:rPr/>
        <w:t>Такая форма закупки, как закрытые маркетинговые исследования, предусмотрена пунктом 1.2.37 Положения о закупках, согласно которому маркетинговые исследования – это способ неконкурентной закупки, при котором заказчик выбирает наиболее выгодные для себя условия исполнения договора из числа предложенных участниками закупки в соответствии с документацией о маркетинговых исследованиях в электронной форме</w:t>
      </w:r>
      <w:r>
        <w:rPr>
          <w:spacing w:val="40"/>
        </w:rPr>
        <w:t> </w:t>
      </w:r>
      <w:r>
        <w:rPr/>
        <w:t>(запросом о возможности осуществить поставку товаров (выполнить работы, оказать услуги), заказом, направленным потенциальным поставщикам (подрядчикам, исполнителям) путем размещения в специализированных информационных системах или Интернет-платформах).</w:t>
      </w:r>
    </w:p>
    <w:p>
      <w:pPr>
        <w:pStyle w:val="BodyText"/>
        <w:spacing w:line="360" w:lineRule="auto" w:before="1"/>
        <w:ind w:right="132"/>
      </w:pPr>
      <w:r>
        <w:rPr/>
        <w:t>Согласно</w:t>
      </w:r>
      <w:r>
        <w:rPr>
          <w:spacing w:val="80"/>
        </w:rPr>
        <w:t> </w:t>
      </w:r>
      <w:r>
        <w:rPr/>
        <w:t>извещению</w:t>
      </w:r>
      <w:r>
        <w:rPr>
          <w:spacing w:val="80"/>
        </w:rPr>
        <w:t> </w:t>
      </w:r>
      <w:r>
        <w:rPr/>
        <w:t>о</w:t>
      </w:r>
      <w:r>
        <w:rPr>
          <w:spacing w:val="80"/>
        </w:rPr>
        <w:t> </w:t>
      </w:r>
      <w:r>
        <w:rPr/>
        <w:t>закупке</w:t>
      </w:r>
      <w:r>
        <w:rPr>
          <w:spacing w:val="80"/>
        </w:rPr>
        <w:t> </w:t>
      </w:r>
      <w:r>
        <w:rPr/>
        <w:t>дата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время</w:t>
      </w:r>
      <w:r>
        <w:rPr>
          <w:spacing w:val="80"/>
        </w:rPr>
        <w:t> </w:t>
      </w:r>
      <w:r>
        <w:rPr/>
        <w:t>начала</w:t>
      </w:r>
      <w:r>
        <w:rPr>
          <w:spacing w:val="80"/>
        </w:rPr>
        <w:t> </w:t>
      </w:r>
      <w:r>
        <w:rPr/>
        <w:t>приема</w:t>
      </w:r>
      <w:r>
        <w:rPr>
          <w:spacing w:val="80"/>
        </w:rPr>
        <w:t> </w:t>
      </w:r>
      <w:r>
        <w:rPr/>
        <w:t>заявок: 21 марта 2024 г. с момента публикации документации и извещения на сайте электронной</w:t>
      </w:r>
      <w:r>
        <w:rPr>
          <w:spacing w:val="40"/>
        </w:rPr>
        <w:t> </w:t>
      </w:r>
      <w:r>
        <w:rPr/>
        <w:t>площадки.</w:t>
      </w:r>
      <w:r>
        <w:rPr>
          <w:spacing w:val="40"/>
        </w:rPr>
        <w:t> </w:t>
      </w:r>
      <w:r>
        <w:rPr/>
        <w:t>Дата</w:t>
      </w:r>
      <w:r>
        <w:rPr>
          <w:spacing w:val="40"/>
        </w:rPr>
        <w:t> </w:t>
      </w:r>
      <w:r>
        <w:rPr/>
        <w:t>окончания</w:t>
      </w:r>
      <w:r>
        <w:rPr>
          <w:spacing w:val="40"/>
        </w:rPr>
        <w:t> </w:t>
      </w:r>
      <w:r>
        <w:rPr/>
        <w:t>приема</w:t>
      </w:r>
      <w:r>
        <w:rPr>
          <w:spacing w:val="40"/>
        </w:rPr>
        <w:t> </w:t>
      </w:r>
      <w:r>
        <w:rPr/>
        <w:t>заявок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29</w:t>
      </w:r>
      <w:r>
        <w:rPr>
          <w:spacing w:val="40"/>
        </w:rPr>
        <w:t> </w:t>
      </w:r>
      <w:r>
        <w:rPr/>
        <w:t>марта</w:t>
      </w:r>
      <w:r>
        <w:rPr>
          <w:spacing w:val="40"/>
        </w:rPr>
        <w:t> </w:t>
      </w:r>
      <w:r>
        <w:rPr/>
        <w:t>2024</w:t>
      </w:r>
      <w:r>
        <w:rPr>
          <w:spacing w:val="40"/>
        </w:rPr>
        <w:t> </w:t>
      </w:r>
      <w:r>
        <w:rPr/>
        <w:t>г., 8:59 (время московское).</w:t>
      </w:r>
    </w:p>
    <w:p>
      <w:pPr>
        <w:pStyle w:val="BodyText"/>
        <w:spacing w:line="362" w:lineRule="auto"/>
        <w:ind w:right="133"/>
      </w:pPr>
      <w:r>
        <w:rPr/>
        <w:t>До окончания срока подачи заявок 28 марта 2024 г. общество «Катод Защита»</w:t>
      </w:r>
      <w:r>
        <w:rPr>
          <w:spacing w:val="80"/>
          <w:w w:val="150"/>
        </w:rPr>
        <w:t> </w:t>
      </w:r>
      <w:r>
        <w:rPr/>
        <w:t>направило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антимонопольный</w:t>
      </w:r>
      <w:r>
        <w:rPr>
          <w:spacing w:val="80"/>
          <w:w w:val="150"/>
        </w:rPr>
        <w:t> </w:t>
      </w:r>
      <w:r>
        <w:rPr/>
        <w:t>орган</w:t>
      </w:r>
      <w:r>
        <w:rPr>
          <w:spacing w:val="80"/>
          <w:w w:val="150"/>
        </w:rPr>
        <w:t> </w:t>
      </w:r>
      <w:r>
        <w:rPr/>
        <w:t>жалобу,</w:t>
      </w:r>
      <w:r>
        <w:rPr>
          <w:spacing w:val="80"/>
          <w:w w:val="150"/>
        </w:rPr>
        <w:t> </w:t>
      </w:r>
      <w:r>
        <w:rPr/>
        <w:t>где</w:t>
      </w:r>
      <w:r>
        <w:rPr>
          <w:spacing w:val="80"/>
          <w:w w:val="150"/>
        </w:rPr>
        <w:t> </w:t>
      </w:r>
      <w:r>
        <w:rPr/>
        <w:t>ссылалось</w:t>
      </w:r>
      <w:r>
        <w:rPr>
          <w:spacing w:val="80"/>
          <w:w w:val="150"/>
        </w:rPr>
        <w:t> </w:t>
      </w:r>
      <w:r>
        <w:rPr/>
        <w:t>на</w:t>
      </w:r>
    </w:p>
    <w:p>
      <w:pPr>
        <w:pStyle w:val="BodyText"/>
        <w:spacing w:after="0" w:line="362" w:lineRule="auto"/>
        <w:sectPr>
          <w:pgSz w:w="11910" w:h="16840"/>
          <w:pgMar w:header="681" w:footer="0" w:top="980" w:bottom="280" w:left="425" w:right="708"/>
        </w:sectPr>
      </w:pPr>
    </w:p>
    <w:p>
      <w:pPr>
        <w:pStyle w:val="BodyText"/>
        <w:spacing w:line="360" w:lineRule="auto" w:before="133"/>
        <w:ind w:right="133" w:firstLine="0"/>
      </w:pPr>
      <w:r>
        <w:rPr/>
        <w:t>незаконность установленного заказчиком в Разделе 2 «Оценка и сопоставление заявок Участников Закрытых маркетинговых исследований» Методики анализа и оценки заявок участников закрытых маркетинговых исследований (Приложение</w:t>
      </w:r>
      <w:r>
        <w:rPr>
          <w:spacing w:val="31"/>
        </w:rPr>
        <w:t> </w:t>
      </w:r>
      <w:r>
        <w:rPr/>
        <w:t>№</w:t>
      </w:r>
      <w:r>
        <w:rPr>
          <w:spacing w:val="29"/>
        </w:rPr>
        <w:t> </w:t>
      </w:r>
      <w:r>
        <w:rPr/>
        <w:t>3</w:t>
      </w:r>
      <w:r>
        <w:rPr>
          <w:spacing w:val="31"/>
        </w:rPr>
        <w:t> </w:t>
      </w:r>
      <w:r>
        <w:rPr/>
        <w:t>к</w:t>
      </w:r>
      <w:r>
        <w:rPr>
          <w:spacing w:val="30"/>
        </w:rPr>
        <w:t> </w:t>
      </w:r>
      <w:r>
        <w:rPr/>
        <w:t>Документации</w:t>
      </w:r>
      <w:r>
        <w:rPr>
          <w:spacing w:val="31"/>
        </w:rPr>
        <w:t> </w:t>
      </w:r>
      <w:r>
        <w:rPr/>
        <w:t>о</w:t>
      </w:r>
      <w:r>
        <w:rPr>
          <w:spacing w:val="31"/>
        </w:rPr>
        <w:t> </w:t>
      </w:r>
      <w:r>
        <w:rPr/>
        <w:t>закрытых</w:t>
      </w:r>
      <w:r>
        <w:rPr>
          <w:spacing w:val="30"/>
        </w:rPr>
        <w:t> </w:t>
      </w:r>
      <w:r>
        <w:rPr/>
        <w:t>маркетинговых</w:t>
      </w:r>
      <w:r>
        <w:rPr>
          <w:spacing w:val="31"/>
        </w:rPr>
        <w:t> </w:t>
      </w:r>
      <w:r>
        <w:rPr/>
        <w:t>исследованиях</w:t>
      </w:r>
    </w:p>
    <w:p>
      <w:pPr>
        <w:pStyle w:val="BodyText"/>
        <w:spacing w:line="360" w:lineRule="auto"/>
        <w:ind w:right="136" w:firstLine="0"/>
      </w:pPr>
      <w:r>
        <w:rPr/>
        <w:t>№ 03-47-2024) критерия № 4 (весомость критерия – 10 %): «Количество жалоб участника закупки на действия ОАО «Газпром газораспределение Воронеж» при проведении закупок за последние 36 месяцев до дня рассмотрения заявок участников и признающих такие жалобы необоснованными». При этом заявка на участие в маркетинговых исследованиях данным обществом не</w:t>
      </w:r>
      <w:r>
        <w:rPr>
          <w:spacing w:val="40"/>
        </w:rPr>
        <w:t> </w:t>
      </w:r>
      <w:r>
        <w:rPr/>
        <w:t>подавалась.</w:t>
      </w:r>
    </w:p>
    <w:p>
      <w:pPr>
        <w:pStyle w:val="BodyText"/>
        <w:ind w:left="1706" w:firstLine="0"/>
      </w:pPr>
      <w:r>
        <w:rPr/>
        <w:t>Решением</w:t>
      </w:r>
      <w:r>
        <w:rPr>
          <w:spacing w:val="75"/>
          <w:w w:val="150"/>
        </w:rPr>
        <w:t>  </w:t>
      </w:r>
      <w:r>
        <w:rPr/>
        <w:t>антимонопольного</w:t>
      </w:r>
      <w:r>
        <w:rPr>
          <w:spacing w:val="76"/>
          <w:w w:val="150"/>
        </w:rPr>
        <w:t>  </w:t>
      </w:r>
      <w:r>
        <w:rPr/>
        <w:t>органа</w:t>
      </w:r>
      <w:r>
        <w:rPr>
          <w:spacing w:val="75"/>
          <w:w w:val="150"/>
        </w:rPr>
        <w:t>  </w:t>
      </w:r>
      <w:r>
        <w:rPr/>
        <w:t>от</w:t>
      </w:r>
      <w:r>
        <w:rPr>
          <w:spacing w:val="75"/>
          <w:w w:val="150"/>
        </w:rPr>
        <w:t>  </w:t>
      </w:r>
      <w:r>
        <w:rPr/>
        <w:t>11</w:t>
      </w:r>
      <w:r>
        <w:rPr>
          <w:spacing w:val="79"/>
          <w:w w:val="150"/>
        </w:rPr>
        <w:t>  </w:t>
      </w:r>
      <w:r>
        <w:rPr/>
        <w:t>апреля</w:t>
      </w:r>
      <w:r>
        <w:rPr>
          <w:spacing w:val="77"/>
          <w:w w:val="150"/>
        </w:rPr>
        <w:t>  </w:t>
      </w:r>
      <w:r>
        <w:rPr/>
        <w:t>2024</w:t>
      </w:r>
      <w:r>
        <w:rPr>
          <w:spacing w:val="77"/>
          <w:w w:val="150"/>
        </w:rPr>
        <w:t>  </w:t>
      </w:r>
      <w:r>
        <w:rPr>
          <w:spacing w:val="-5"/>
        </w:rPr>
        <w:t>г.</w:t>
      </w:r>
    </w:p>
    <w:p>
      <w:pPr>
        <w:pStyle w:val="BodyText"/>
        <w:spacing w:before="163"/>
        <w:ind w:left="1706" w:hanging="711"/>
      </w:pPr>
      <w:r>
        <w:rPr/>
        <w:t>№</w:t>
      </w:r>
      <w:r>
        <w:rPr>
          <w:spacing w:val="-7"/>
        </w:rPr>
        <w:t> </w:t>
      </w:r>
      <w:r>
        <w:rPr/>
        <w:t>036/07/3-409/2024</w:t>
      </w:r>
      <w:r>
        <w:rPr>
          <w:spacing w:val="-1"/>
        </w:rPr>
        <w:t> </w:t>
      </w:r>
      <w:r>
        <w:rPr/>
        <w:t>жалоба</w:t>
      </w:r>
      <w:r>
        <w:rPr>
          <w:spacing w:val="-2"/>
        </w:rPr>
        <w:t> </w:t>
      </w:r>
      <w:r>
        <w:rPr/>
        <w:t>общества</w:t>
      </w:r>
      <w:r>
        <w:rPr>
          <w:spacing w:val="-1"/>
        </w:rPr>
        <w:t> </w:t>
      </w:r>
      <w:r>
        <w:rPr/>
        <w:t>«Катод</w:t>
      </w:r>
      <w:r>
        <w:rPr>
          <w:spacing w:val="-2"/>
        </w:rPr>
        <w:t> </w:t>
      </w:r>
      <w:r>
        <w:rPr/>
        <w:t>Защита»</w:t>
      </w:r>
      <w:r>
        <w:rPr>
          <w:spacing w:val="-1"/>
        </w:rPr>
        <w:t> </w:t>
      </w:r>
      <w:r>
        <w:rPr/>
        <w:t>признана </w:t>
      </w:r>
      <w:r>
        <w:rPr>
          <w:spacing w:val="-2"/>
        </w:rPr>
        <w:t>обоснованной.</w:t>
      </w:r>
    </w:p>
    <w:p>
      <w:pPr>
        <w:pStyle w:val="BodyText"/>
        <w:spacing w:line="360" w:lineRule="auto" w:before="158"/>
        <w:ind w:right="133"/>
      </w:pPr>
      <w:r>
        <w:rPr/>
        <w:t>Антимонопольный орган пришел к выводу о том, что действия заказчика по установлению в документации о закупке оспариваемого критерия нарушают требования пункта 2 части 1 статьи 3 Закона о закупках, поскольку</w:t>
      </w:r>
      <w:r>
        <w:rPr>
          <w:spacing w:val="-4"/>
        </w:rPr>
        <w:t> </w:t>
      </w:r>
      <w:r>
        <w:rPr/>
        <w:t>в результате включения в документацию условия, при котором участники закупки, воспользовавшиеся своим правом на обжалование действий заказчика при проведении закупок</w:t>
      </w:r>
      <w:r>
        <w:rPr>
          <w:spacing w:val="40"/>
        </w:rPr>
        <w:t> </w:t>
      </w:r>
      <w:r>
        <w:rPr/>
        <w:t>за последние 36 месяцев до дня рассмотрения заявок, получат по итогам оценки и сопоставления заявок</w:t>
      </w:r>
      <w:r>
        <w:rPr>
          <w:spacing w:val="40"/>
        </w:rPr>
        <w:t> </w:t>
      </w:r>
      <w:r>
        <w:rPr/>
        <w:t>меньше баллов, что не отвечает</w:t>
      </w:r>
      <w:r>
        <w:rPr>
          <w:spacing w:val="-4"/>
        </w:rPr>
        <w:t> </w:t>
      </w:r>
      <w:r>
        <w:rPr/>
        <w:t>принципам</w:t>
      </w:r>
      <w:r>
        <w:rPr>
          <w:spacing w:val="-4"/>
        </w:rPr>
        <w:t> </w:t>
      </w:r>
      <w:r>
        <w:rPr/>
        <w:t>равноправия,</w:t>
      </w:r>
      <w:r>
        <w:rPr>
          <w:spacing w:val="-2"/>
        </w:rPr>
        <w:t> </w:t>
      </w:r>
      <w:r>
        <w:rPr/>
        <w:t>справедливости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отсутствия</w:t>
      </w:r>
      <w:r>
        <w:rPr>
          <w:spacing w:val="-1"/>
        </w:rPr>
        <w:t> </w:t>
      </w:r>
      <w:r>
        <w:rPr/>
        <w:t>дискриминации по отношению к участникам закупки, закрепленным положениями Закона о </w:t>
      </w:r>
      <w:r>
        <w:rPr>
          <w:spacing w:val="-2"/>
        </w:rPr>
        <w:t>закупках.</w:t>
      </w:r>
    </w:p>
    <w:p>
      <w:pPr>
        <w:pStyle w:val="BodyText"/>
        <w:spacing w:line="362" w:lineRule="auto" w:before="2"/>
        <w:ind w:right="136"/>
      </w:pPr>
      <w:r>
        <w:rPr/>
        <w:t>На основании указанного решения заказчику выдано предписание об устранении выявленных нарушений.</w:t>
      </w:r>
    </w:p>
    <w:p>
      <w:pPr>
        <w:pStyle w:val="BodyText"/>
        <w:spacing w:line="362" w:lineRule="auto"/>
        <w:ind w:right="139"/>
      </w:pPr>
      <w:r>
        <w:rPr/>
        <w:t>Несогласие общества с решением и предписанием антимонопольного органа послужило основанием для обращения в арбитражный суд с соответствующим требованием.</w:t>
      </w:r>
    </w:p>
    <w:p>
      <w:pPr>
        <w:pStyle w:val="BodyText"/>
        <w:spacing w:line="360" w:lineRule="auto"/>
        <w:ind w:right="134"/>
      </w:pPr>
      <w:r>
        <w:rPr/>
        <w:t>Рассматривая спор, суд первой инстанции пришел к выводу о том, что у антимонопольного органа отсутствовали основания для рассмотрения жалобы общества</w:t>
      </w:r>
      <w:r>
        <w:rPr>
          <w:spacing w:val="80"/>
          <w:w w:val="150"/>
        </w:rPr>
        <w:t> </w:t>
      </w:r>
      <w:r>
        <w:rPr/>
        <w:t>«Катод</w:t>
      </w:r>
      <w:r>
        <w:rPr>
          <w:spacing w:val="80"/>
          <w:w w:val="150"/>
        </w:rPr>
        <w:t> </w:t>
      </w:r>
      <w:r>
        <w:rPr/>
        <w:t>Защита»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порядке</w:t>
      </w:r>
      <w:r>
        <w:rPr>
          <w:spacing w:val="80"/>
          <w:w w:val="150"/>
        </w:rPr>
        <w:t> </w:t>
      </w:r>
      <w:r>
        <w:rPr/>
        <w:t>статьи</w:t>
      </w:r>
      <w:r>
        <w:rPr>
          <w:spacing w:val="80"/>
          <w:w w:val="150"/>
        </w:rPr>
        <w:t> </w:t>
      </w:r>
      <w:r>
        <w:rPr/>
        <w:t>18.1</w:t>
      </w:r>
      <w:r>
        <w:rPr>
          <w:spacing w:val="80"/>
          <w:w w:val="150"/>
        </w:rPr>
        <w:t> </w:t>
      </w:r>
      <w:r>
        <w:rPr/>
        <w:t>Федерального</w:t>
      </w:r>
      <w:r>
        <w:rPr>
          <w:spacing w:val="80"/>
          <w:w w:val="150"/>
        </w:rPr>
        <w:t> </w:t>
      </w:r>
      <w:r>
        <w:rPr/>
        <w:t>закона</w:t>
      </w:r>
      <w:r>
        <w:rPr>
          <w:spacing w:val="80"/>
        </w:rPr>
        <w:t> </w:t>
      </w:r>
      <w:r>
        <w:rPr/>
        <w:t>от</w:t>
      </w:r>
      <w:r>
        <w:rPr>
          <w:spacing w:val="10"/>
        </w:rPr>
        <w:t> </w:t>
      </w:r>
      <w:r>
        <w:rPr/>
        <w:t>26</w:t>
      </w:r>
      <w:r>
        <w:rPr>
          <w:spacing w:val="12"/>
        </w:rPr>
        <w:t> </w:t>
      </w:r>
      <w:r>
        <w:rPr/>
        <w:t>июля</w:t>
      </w:r>
      <w:r>
        <w:rPr>
          <w:spacing w:val="14"/>
        </w:rPr>
        <w:t> </w:t>
      </w:r>
      <w:r>
        <w:rPr/>
        <w:t>2006г.</w:t>
      </w:r>
      <w:r>
        <w:rPr>
          <w:spacing w:val="12"/>
        </w:rPr>
        <w:t> </w:t>
      </w:r>
      <w:r>
        <w:rPr/>
        <w:t>№</w:t>
      </w:r>
      <w:r>
        <w:rPr>
          <w:spacing w:val="15"/>
        </w:rPr>
        <w:t> </w:t>
      </w:r>
      <w:r>
        <w:rPr/>
        <w:t>135-ФЗ</w:t>
      </w:r>
      <w:r>
        <w:rPr>
          <w:spacing w:val="17"/>
        </w:rPr>
        <w:t> </w:t>
      </w:r>
      <w:r>
        <w:rPr/>
        <w:t>«О</w:t>
      </w:r>
      <w:r>
        <w:rPr>
          <w:spacing w:val="16"/>
        </w:rPr>
        <w:t> </w:t>
      </w:r>
      <w:r>
        <w:rPr/>
        <w:t>защите</w:t>
      </w:r>
      <w:r>
        <w:rPr>
          <w:spacing w:val="13"/>
        </w:rPr>
        <w:t> </w:t>
      </w:r>
      <w:r>
        <w:rPr/>
        <w:t>конкуренции»</w:t>
      </w:r>
      <w:r>
        <w:rPr>
          <w:spacing w:val="13"/>
        </w:rPr>
        <w:t> </w:t>
      </w:r>
      <w:r>
        <w:rPr/>
        <w:t>(далее</w:t>
      </w:r>
      <w:r>
        <w:rPr>
          <w:spacing w:val="20"/>
        </w:rPr>
        <w:t> </w:t>
      </w:r>
      <w:r>
        <w:rPr/>
        <w:t>–</w:t>
      </w:r>
      <w:r>
        <w:rPr>
          <w:spacing w:val="13"/>
        </w:rPr>
        <w:t> </w:t>
      </w:r>
      <w:r>
        <w:rPr/>
        <w:t>Закон</w:t>
      </w:r>
      <w:r>
        <w:rPr>
          <w:spacing w:val="17"/>
        </w:rPr>
        <w:t> </w:t>
      </w:r>
      <w:r>
        <w:rPr/>
        <w:t>о</w:t>
      </w:r>
      <w:r>
        <w:rPr>
          <w:spacing w:val="13"/>
        </w:rPr>
        <w:t> </w:t>
      </w:r>
      <w:r>
        <w:rPr>
          <w:spacing w:val="-2"/>
        </w:rPr>
        <w:t>защите</w:t>
      </w:r>
    </w:p>
    <w:p>
      <w:pPr>
        <w:pStyle w:val="BodyText"/>
        <w:spacing w:after="0" w:line="360" w:lineRule="auto"/>
        <w:sectPr>
          <w:pgSz w:w="11910" w:h="16840"/>
          <w:pgMar w:header="681" w:footer="0" w:top="980" w:bottom="280" w:left="425" w:right="708"/>
        </w:sectPr>
      </w:pPr>
    </w:p>
    <w:p>
      <w:pPr>
        <w:pStyle w:val="BodyText"/>
        <w:spacing w:line="360" w:lineRule="auto" w:before="133"/>
        <w:ind w:right="136" w:firstLine="0"/>
      </w:pPr>
      <w:r>
        <w:rPr/>
        <w:t>конкуренции), поскольку названное лицо не подавало заявку на участие в маркетинговых исследованиях и не ссылалось на ограничения, связанные с допуском к участию в закупке. Несогласие же с положениями документации,</w:t>
      </w:r>
      <w:r>
        <w:rPr>
          <w:spacing w:val="80"/>
        </w:rPr>
        <w:t> </w:t>
      </w:r>
      <w:r>
        <w:rPr/>
        <w:t>по мнению суда, может</w:t>
      </w:r>
      <w:r>
        <w:rPr>
          <w:spacing w:val="-2"/>
        </w:rPr>
        <w:t> </w:t>
      </w:r>
      <w:r>
        <w:rPr/>
        <w:t>выражать только</w:t>
      </w:r>
      <w:r>
        <w:rPr>
          <w:spacing w:val="-1"/>
        </w:rPr>
        <w:t> </w:t>
      </w:r>
      <w:r>
        <w:rPr/>
        <w:t>участник,</w:t>
      </w:r>
      <w:r>
        <w:rPr>
          <w:spacing w:val="-2"/>
        </w:rPr>
        <w:t> </w:t>
      </w:r>
      <w:r>
        <w:rPr/>
        <w:t>подавший</w:t>
      </w:r>
      <w:r>
        <w:rPr>
          <w:spacing w:val="-1"/>
        </w:rPr>
        <w:t> </w:t>
      </w:r>
      <w:r>
        <w:rPr/>
        <w:t>заявку на участие в закрытых маркетинговых исследованиях.</w:t>
      </w:r>
    </w:p>
    <w:p>
      <w:pPr>
        <w:pStyle w:val="BodyText"/>
        <w:spacing w:line="360" w:lineRule="auto"/>
        <w:ind w:right="130"/>
      </w:pPr>
      <w:r>
        <w:rPr/>
        <w:t>Кроме того суд не усмотрел в действиях заказчика ограничений, связанных с допуском общества «Катод Защита» к участию в закупке,</w:t>
      </w:r>
      <w:r>
        <w:rPr>
          <w:spacing w:val="40"/>
        </w:rPr>
        <w:t> </w:t>
      </w:r>
      <w:r>
        <w:rPr/>
        <w:t>а также заинтересованность заявителя жалобы на участие в проведенной закупочной </w:t>
      </w:r>
      <w:r>
        <w:rPr>
          <w:spacing w:val="-2"/>
        </w:rPr>
        <w:t>процедуре.</w:t>
      </w:r>
    </w:p>
    <w:p>
      <w:pPr>
        <w:pStyle w:val="BodyText"/>
        <w:spacing w:line="360" w:lineRule="auto"/>
        <w:ind w:right="144"/>
      </w:pPr>
      <w:r>
        <w:rPr/>
        <w:t>Отменяя решение суда первой инстанции и отказывая в удовлетворении заявления, суд апелляционной инстанции отметил, что общество «Катод Защита» подало жалобу</w:t>
      </w:r>
      <w:r>
        <w:rPr>
          <w:spacing w:val="-3"/>
        </w:rPr>
        <w:t> </w:t>
      </w:r>
      <w:r>
        <w:rPr/>
        <w:t>до окончания срока подачи заявок, а потому</w:t>
      </w:r>
      <w:r>
        <w:rPr>
          <w:spacing w:val="-3"/>
        </w:rPr>
        <w:t> </w:t>
      </w:r>
      <w:r>
        <w:rPr/>
        <w:t>по смыслу статей</w:t>
      </w:r>
      <w:r>
        <w:rPr>
          <w:spacing w:val="-2"/>
        </w:rPr>
        <w:t> </w:t>
      </w:r>
      <w:r>
        <w:rPr/>
        <w:t>9,</w:t>
      </w:r>
      <w:r>
        <w:rPr>
          <w:spacing w:val="-2"/>
        </w:rPr>
        <w:t> </w:t>
      </w:r>
      <w:r>
        <w:rPr/>
        <w:t>10, 11</w:t>
      </w:r>
      <w:r>
        <w:rPr>
          <w:spacing w:val="-2"/>
        </w:rPr>
        <w:t> </w:t>
      </w:r>
      <w:r>
        <w:rPr/>
        <w:t>Закона о</w:t>
      </w:r>
      <w:r>
        <w:rPr>
          <w:spacing w:val="-2"/>
        </w:rPr>
        <w:t> </w:t>
      </w:r>
      <w:r>
        <w:rPr/>
        <w:t>закупках,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являясь участником</w:t>
      </w:r>
      <w:r>
        <w:rPr>
          <w:spacing w:val="-5"/>
        </w:rPr>
        <w:t> </w:t>
      </w:r>
      <w:r>
        <w:rPr/>
        <w:t>закупки, тем</w:t>
      </w:r>
      <w:r>
        <w:rPr>
          <w:spacing w:val="-5"/>
        </w:rPr>
        <w:t> </w:t>
      </w:r>
      <w:r>
        <w:rPr/>
        <w:t>не менее было вправе обратиться в антимонопольный орган</w:t>
      </w:r>
      <w:r>
        <w:rPr>
          <w:spacing w:val="-1"/>
        </w:rPr>
        <w:t> </w:t>
      </w:r>
      <w:r>
        <w:rPr/>
        <w:t>с соответствующей жалобой на действия организатора торгов.</w:t>
      </w:r>
    </w:p>
    <w:p>
      <w:pPr>
        <w:pStyle w:val="BodyText"/>
        <w:spacing w:line="360" w:lineRule="auto" w:before="2"/>
        <w:ind w:right="135"/>
      </w:pPr>
      <w:r>
        <w:rPr/>
        <w:t>Признавая за обществом «Катод Защита» наличие заинтересованности в оспаривании условий закупочной документации в целях участия в закупках,</w:t>
      </w:r>
      <w:r>
        <w:rPr>
          <w:spacing w:val="80"/>
        </w:rPr>
        <w:t> </w:t>
      </w:r>
      <w:r>
        <w:rPr/>
        <w:t>суд апелляционной инстанции принял во внимание тот факт, что общество неоднократно участвовало в проводимых ОАО «Газпром газораспределение Воронеж» закупках, а также осуществляло поставку продукции в его адрес.</w:t>
      </w:r>
    </w:p>
    <w:p>
      <w:pPr>
        <w:pStyle w:val="BodyText"/>
        <w:spacing w:line="360" w:lineRule="auto" w:before="1"/>
        <w:ind w:right="138"/>
      </w:pPr>
      <w:r>
        <w:rPr/>
        <w:t>Арбитражный суд Центрального округа согласился с выводами суда первой инстанции, отменив постановление Девятнадцатого арбитражного апелляционного суда от 28 февраля 2025 г.</w:t>
      </w:r>
    </w:p>
    <w:p>
      <w:pPr>
        <w:pStyle w:val="BodyText"/>
        <w:spacing w:line="362" w:lineRule="auto"/>
        <w:ind w:right="139"/>
      </w:pPr>
      <w:r>
        <w:rPr/>
        <w:t>По мнению Судебной коллегии Верховного Суда Российской Федерации, формулируя указанный вывод, суды первой и кассационной инстанций не учли </w:t>
      </w:r>
      <w:r>
        <w:rPr>
          <w:spacing w:val="-2"/>
        </w:rPr>
        <w:t>следующее.</w:t>
      </w:r>
    </w:p>
    <w:p>
      <w:pPr>
        <w:pStyle w:val="BodyText"/>
        <w:spacing w:line="360" w:lineRule="auto"/>
        <w:ind w:right="135"/>
      </w:pPr>
      <w:r>
        <w:rPr/>
        <w:t>Согласно статье 1 Закона о закупках целями регулирования настоящего Федерального закона являются обеспечение единства экономического пространства, создание условий для своевременного и полного удовлетворения потребностей</w:t>
      </w:r>
      <w:r>
        <w:rPr>
          <w:spacing w:val="2"/>
        </w:rPr>
        <w:t> </w:t>
      </w:r>
      <w:r>
        <w:rPr/>
        <w:t>юридических</w:t>
      </w:r>
      <w:r>
        <w:rPr>
          <w:spacing w:val="2"/>
        </w:rPr>
        <w:t> </w:t>
      </w:r>
      <w:r>
        <w:rPr/>
        <w:t>лиц,</w:t>
      </w:r>
      <w:r>
        <w:rPr>
          <w:spacing w:val="7"/>
        </w:rPr>
        <w:t> </w:t>
      </w:r>
      <w:r>
        <w:rPr/>
        <w:t>указанных</w:t>
      </w:r>
      <w:r>
        <w:rPr>
          <w:spacing w:val="2"/>
        </w:rPr>
        <w:t> </w:t>
      </w:r>
      <w:r>
        <w:rPr/>
        <w:t>в</w:t>
      </w:r>
      <w:r>
        <w:rPr>
          <w:spacing w:val="4"/>
        </w:rPr>
        <w:t> </w:t>
      </w:r>
      <w:r>
        <w:rPr/>
        <w:t>части</w:t>
      </w:r>
      <w:r>
        <w:rPr>
          <w:spacing w:val="3"/>
        </w:rPr>
        <w:t> </w:t>
      </w:r>
      <w:r>
        <w:rPr/>
        <w:t>2</w:t>
      </w:r>
      <w:r>
        <w:rPr>
          <w:spacing w:val="2"/>
        </w:rPr>
        <w:t> </w:t>
      </w:r>
      <w:r>
        <w:rPr/>
        <w:t>настоящей</w:t>
      </w:r>
      <w:r>
        <w:rPr>
          <w:spacing w:val="2"/>
        </w:rPr>
        <w:t> </w:t>
      </w:r>
      <w:r>
        <w:rPr/>
        <w:t>статьи</w:t>
      </w:r>
      <w:r>
        <w:rPr>
          <w:spacing w:val="3"/>
        </w:rPr>
        <w:t> </w:t>
      </w:r>
      <w:r>
        <w:rPr/>
        <w:t>(далее</w:t>
      </w:r>
      <w:r>
        <w:rPr>
          <w:spacing w:val="8"/>
        </w:rPr>
        <w:t> </w:t>
      </w:r>
      <w:r>
        <w:rPr>
          <w:spacing w:val="-10"/>
        </w:rPr>
        <w:t>–</w:t>
      </w:r>
    </w:p>
    <w:p>
      <w:pPr>
        <w:pStyle w:val="BodyText"/>
        <w:spacing w:after="0" w:line="360" w:lineRule="auto"/>
        <w:sectPr>
          <w:pgSz w:w="11910" w:h="16840"/>
          <w:pgMar w:header="681" w:footer="0" w:top="980" w:bottom="280" w:left="425" w:right="708"/>
        </w:sectPr>
      </w:pPr>
    </w:p>
    <w:p>
      <w:pPr>
        <w:pStyle w:val="BodyText"/>
        <w:spacing w:line="360" w:lineRule="auto" w:before="133"/>
        <w:ind w:right="141" w:firstLine="0"/>
      </w:pPr>
      <w:r>
        <w:rPr/>
        <w:t>заказчики), в товарах, работах, услугах, в том числе для целей коммерческого использования, с необходимыми показателями цены, качества и надежности, эффективное использование денежных средств, расширение возможностей участия юридических и физических лиц в закупке товаров, работ, услуг для нужд заказчиков и стимулирование такого участия, развитие добросовестной конкуренции, обеспечение гласности и прозрачности закупки, предотвращение коррупции и других злоупотреблений.</w:t>
      </w:r>
    </w:p>
    <w:p>
      <w:pPr>
        <w:pStyle w:val="BodyText"/>
        <w:spacing w:line="360" w:lineRule="auto"/>
        <w:ind w:right="133"/>
      </w:pPr>
      <w:r>
        <w:rPr/>
        <w:t>Перечисленные в данной статье принципы направлены на обеспечение прозрачности процедур, защиту прав участников и повышение доверия к закупочным процессам. Для соблюдения указанных принципов Закон о закупках четко регламентирует порядок обжалования действий (или бездействия) заказчика, комиссии по закупкам и операторов электронных </w:t>
      </w:r>
      <w:r>
        <w:rPr>
          <w:spacing w:val="-2"/>
        </w:rPr>
        <w:t>площадок.</w:t>
      </w:r>
    </w:p>
    <w:p>
      <w:pPr>
        <w:pStyle w:val="BodyText"/>
        <w:spacing w:line="360" w:lineRule="auto"/>
        <w:ind w:right="141"/>
      </w:pPr>
      <w:r>
        <w:rPr/>
        <w:t>Так, согласно части 10 статьи 3 Закона о закупках любой участник закупки вправе обжаловать в антимонопольном органе в порядке, установленном статьей 18.1 Закона о защите конкуренции, с учетом особенностей, установленных настоящей статьей, действия (бездействие) заказчика, комиссии по осуществлению закупок, оператора электронной площадки при закупке товаров, работ, услуг, если такие действия (бездействие) нарушают права и законные интересы участника закупки.</w:t>
      </w:r>
    </w:p>
    <w:p>
      <w:pPr>
        <w:pStyle w:val="BodyText"/>
        <w:spacing w:line="360" w:lineRule="auto" w:before="3"/>
        <w:ind w:right="135"/>
      </w:pPr>
      <w:r>
        <w:rPr/>
        <w:t>Обжалование осуществляется в случаях: осуществления заказчиком закупки с нарушением требований Закона о закупках и (или) порядка подготовки и (или) осуществления закупки, содержащегося в утвержденном и размещенном в единой информационной системе положении о закупке такого заказчика (пункт 1); нарушения оператором электронной площадки при осуществлении закупки товаров, работ, услуг требований, установленных настоящим Федеральным законом (пункт 2.1); неразмещения в единой информационной системе положения о закупке, изменений, внесенных в указанное положение, информации о закупке, информации и документов о договорах,</w:t>
      </w:r>
      <w:r>
        <w:rPr>
          <w:spacing w:val="40"/>
        </w:rPr>
        <w:t> </w:t>
      </w:r>
      <w:r>
        <w:rPr/>
        <w:t>заключенных</w:t>
      </w:r>
      <w:r>
        <w:rPr>
          <w:spacing w:val="40"/>
        </w:rPr>
        <w:t> </w:t>
      </w:r>
      <w:r>
        <w:rPr/>
        <w:t>заказчиками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результатам</w:t>
      </w:r>
      <w:r>
        <w:rPr>
          <w:spacing w:val="40"/>
        </w:rPr>
        <w:t> </w:t>
      </w:r>
      <w:r>
        <w:rPr/>
        <w:t>закупки,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иной</w:t>
      </w:r>
    </w:p>
    <w:p>
      <w:pPr>
        <w:pStyle w:val="BodyText"/>
        <w:spacing w:after="0" w:line="360" w:lineRule="auto"/>
        <w:sectPr>
          <w:pgSz w:w="11910" w:h="16840"/>
          <w:pgMar w:header="681" w:footer="0" w:top="980" w:bottom="280" w:left="425" w:right="708"/>
        </w:sectPr>
      </w:pPr>
    </w:p>
    <w:p>
      <w:pPr>
        <w:pStyle w:val="BodyText"/>
        <w:spacing w:line="360" w:lineRule="auto" w:before="133"/>
        <w:ind w:right="132" w:firstLine="0"/>
      </w:pPr>
      <w:r>
        <w:rPr/>
        <w:t>информации, подлежащей в соответствии с настоящим Федеральным законом размещению в единой информационной системе, или нарушение сроков такого размещения (пункт 3); предъявления к участникам закупки требований, не предусмотренных документацией о конкурентной закупке (пункт 4); осуществления заказчиками закупки товаров, работ, услуг в отсутствие утвержденного и размещенного в единой информационной системе положения о</w:t>
      </w:r>
      <w:r>
        <w:rPr>
          <w:spacing w:val="40"/>
        </w:rPr>
        <w:t> </w:t>
      </w:r>
      <w:r>
        <w:rPr/>
        <w:t>закупке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без</w:t>
      </w:r>
      <w:r>
        <w:rPr>
          <w:spacing w:val="40"/>
        </w:rPr>
        <w:t> </w:t>
      </w:r>
      <w:r>
        <w:rPr/>
        <w:t>применения</w:t>
      </w:r>
      <w:r>
        <w:rPr>
          <w:spacing w:val="40"/>
        </w:rPr>
        <w:t> </w:t>
      </w:r>
      <w:r>
        <w:rPr/>
        <w:t>положений</w:t>
      </w:r>
      <w:r>
        <w:rPr>
          <w:spacing w:val="40"/>
        </w:rPr>
        <w:t> </w:t>
      </w:r>
      <w:r>
        <w:rPr/>
        <w:t>Федерального</w:t>
      </w:r>
      <w:r>
        <w:rPr>
          <w:spacing w:val="40"/>
        </w:rPr>
        <w:t> </w:t>
      </w:r>
      <w:r>
        <w:rPr/>
        <w:t>закона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5</w:t>
      </w:r>
      <w:r>
        <w:rPr>
          <w:spacing w:val="40"/>
        </w:rPr>
        <w:t> </w:t>
      </w:r>
      <w:r>
        <w:rPr/>
        <w:t>апреля 2013 года № 44-ФЗ «О контрактной системе в сфере закупок товаров, работ, услуг для обеспечения государственных и муниципальных нужд», предусмотренных частью 8.1 настоящей статьи, частью 5 статьи 8 настоящего Федерального закона, включая нарушение порядка применения указанных положений (пункт 5); неразмещения в единой информационной системе информации или размещение недостоверной информации о годовом объеме закупки, которую заказчики обязаны осуществить у субъектов малого и среднего предпринимательства (пункт 6).</w:t>
      </w:r>
    </w:p>
    <w:p>
      <w:pPr>
        <w:pStyle w:val="BodyText"/>
        <w:spacing w:line="360" w:lineRule="auto" w:before="2"/>
        <w:ind w:right="136"/>
      </w:pPr>
      <w:r>
        <w:rPr/>
        <w:t>Частью 11 статьи 3 Закона о закупках установлено, что в случае, если обжалуемые действия (бездействие) совершены заказчиком, комиссией по осуществлению закупок, оператором электронной площадки после окончания установленного в документации о конкурентной закупке срока подачи заявок</w:t>
      </w:r>
      <w:r>
        <w:rPr>
          <w:spacing w:val="40"/>
        </w:rPr>
        <w:t> </w:t>
      </w:r>
      <w:r>
        <w:rPr/>
        <w:t>на участие в закупке, обжалование таких действий (бездействия) может осуществляться только участником закупки, подавшим заявку на участие в </w:t>
      </w:r>
      <w:r>
        <w:rPr>
          <w:spacing w:val="-2"/>
        </w:rPr>
        <w:t>закупке.</w:t>
      </w:r>
    </w:p>
    <w:p>
      <w:pPr>
        <w:pStyle w:val="BodyText"/>
        <w:spacing w:line="360" w:lineRule="auto" w:before="1"/>
        <w:ind w:right="140"/>
      </w:pPr>
      <w:r>
        <w:rPr/>
        <w:t>Таким образом, факт подачи лицом заявки на участие в закупке становится обязательным условием для принятия к рассмотрению антимонопольным органом</w:t>
      </w:r>
      <w:r>
        <w:rPr>
          <w:spacing w:val="40"/>
        </w:rPr>
        <w:t> </w:t>
      </w:r>
      <w:r>
        <w:rPr/>
        <w:t>жалобы, поданной после</w:t>
      </w:r>
      <w:r>
        <w:rPr>
          <w:spacing w:val="40"/>
        </w:rPr>
        <w:t> </w:t>
      </w:r>
      <w:r>
        <w:rPr/>
        <w:t>окончания срока подачи заявок. До истечения этого срока право на обжалование действий или бездействий названных лиц предоставляется любому лицу, обосновавшему наличие заинтересованности в проводимой закупке и потенциальное</w:t>
      </w:r>
      <w:r>
        <w:rPr>
          <w:spacing w:val="40"/>
        </w:rPr>
        <w:t> </w:t>
      </w:r>
      <w:r>
        <w:rPr/>
        <w:t>нарушение действиями заказчика его прав и законных интересов.</w:t>
      </w:r>
    </w:p>
    <w:p>
      <w:pPr>
        <w:pStyle w:val="BodyText"/>
        <w:spacing w:after="0" w:line="360" w:lineRule="auto"/>
        <w:sectPr>
          <w:pgSz w:w="11910" w:h="16840"/>
          <w:pgMar w:header="681" w:footer="0" w:top="980" w:bottom="280" w:left="425" w:right="708"/>
        </w:sectPr>
      </w:pPr>
    </w:p>
    <w:p>
      <w:pPr>
        <w:pStyle w:val="BodyText"/>
        <w:spacing w:line="360" w:lineRule="auto" w:before="133"/>
        <w:ind w:right="131"/>
      </w:pPr>
      <w:r>
        <w:rPr/>
        <w:t>Как установлено судами и следует из материалов дела, дата окончания срока подачи заявок – 29 марта 2024 г., жалоба общества «Катод Защита» поступила в управление 28 марта 2024 г., а потому обращение указанного лица подано с соблюдением сроков, установленных положениями частей 10, 11 статьи 3 Закона о закупках.</w:t>
      </w:r>
    </w:p>
    <w:p>
      <w:pPr>
        <w:pStyle w:val="BodyText"/>
        <w:spacing w:line="360" w:lineRule="auto"/>
        <w:ind w:right="143"/>
      </w:pPr>
      <w:r>
        <w:rPr/>
        <w:t>Судом апелляционной инстанции установлено и не опровергнуто заказчиком, что общество было заинтересовано в проводимой закупке, поскольку</w:t>
      </w:r>
      <w:r>
        <w:rPr>
          <w:spacing w:val="80"/>
        </w:rPr>
        <w:t>  </w:t>
      </w:r>
      <w:r>
        <w:rPr/>
        <w:t>ранее</w:t>
      </w:r>
      <w:r>
        <w:rPr>
          <w:spacing w:val="80"/>
        </w:rPr>
        <w:t>  </w:t>
      </w:r>
      <w:r>
        <w:rPr/>
        <w:t>неоднократно</w:t>
      </w:r>
      <w:r>
        <w:rPr>
          <w:spacing w:val="80"/>
        </w:rPr>
        <w:t>  </w:t>
      </w:r>
      <w:r>
        <w:rPr/>
        <w:t>принимало</w:t>
      </w:r>
      <w:r>
        <w:rPr>
          <w:spacing w:val="80"/>
        </w:rPr>
        <w:t>  </w:t>
      </w:r>
      <w:r>
        <w:rPr/>
        <w:t>участие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проводимых ОАО «Газпром газораспределение Воронеж» закупках, а также осуществляло в 2023</w:t>
      </w:r>
      <w:r>
        <w:rPr>
          <w:spacing w:val="80"/>
        </w:rPr>
        <w:t> </w:t>
      </w:r>
      <w:r>
        <w:rPr/>
        <w:t>году</w:t>
      </w:r>
      <w:r>
        <w:rPr>
          <w:spacing w:val="80"/>
        </w:rPr>
        <w:t> </w:t>
      </w:r>
      <w:r>
        <w:rPr/>
        <w:t>поставку</w:t>
      </w:r>
      <w:r>
        <w:rPr>
          <w:spacing w:val="80"/>
        </w:rPr>
        <w:t> </w:t>
      </w:r>
      <w:r>
        <w:rPr/>
        <w:t>продукции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</w:rPr>
        <w:t> </w:t>
      </w:r>
      <w:r>
        <w:rPr/>
        <w:t>адрес</w:t>
      </w:r>
      <w:r>
        <w:rPr>
          <w:spacing w:val="80"/>
        </w:rPr>
        <w:t> </w:t>
      </w:r>
      <w:r>
        <w:rPr/>
        <w:t>данного</w:t>
      </w:r>
      <w:r>
        <w:rPr>
          <w:spacing w:val="80"/>
        </w:rPr>
        <w:t> </w:t>
      </w:r>
      <w:r>
        <w:rPr/>
        <w:t>заказчика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</w:rPr>
        <w:t> </w:t>
      </w:r>
      <w:r>
        <w:rPr/>
        <w:t>договорам</w:t>
      </w:r>
      <w:r>
        <w:rPr>
          <w:spacing w:val="40"/>
        </w:rPr>
        <w:t> </w:t>
      </w:r>
      <w:r>
        <w:rPr/>
        <w:t>от 26 июня</w:t>
      </w:r>
      <w:r>
        <w:rPr>
          <w:spacing w:val="40"/>
        </w:rPr>
        <w:t> </w:t>
      </w:r>
      <w:r>
        <w:rPr/>
        <w:t>2023 г. и от 18 октября 2023 г.</w:t>
      </w:r>
    </w:p>
    <w:p>
      <w:pPr>
        <w:pStyle w:val="BodyText"/>
        <w:spacing w:line="360" w:lineRule="auto"/>
        <w:ind w:right="139"/>
      </w:pPr>
      <w:r>
        <w:rPr/>
        <w:t>Согласно части 2 статьи 2 Закона о закупках основным документом, регламентирующим</w:t>
      </w:r>
      <w:r>
        <w:rPr>
          <w:spacing w:val="-3"/>
        </w:rPr>
        <w:t> </w:t>
      </w:r>
      <w:r>
        <w:rPr/>
        <w:t>закупочную деятельность заказчика, является Положение о закупке, которое должно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>
      <w:pPr>
        <w:pStyle w:val="BodyText"/>
        <w:spacing w:line="360" w:lineRule="auto" w:before="2"/>
        <w:ind w:right="140"/>
      </w:pPr>
      <w:r>
        <w:rPr/>
        <w:t>Вместе с тем к принципам, которыми должны руководствоваться заказчики при закупке товаров, работ, услуг, включая разработку Положения о закупке, в частности, относятся равноправие (отсутствие дискриминации) участников закупки и недопустимость необоснованного ограничения конкуренции (пункт 2 </w:t>
      </w:r>
      <w:hyperlink r:id="rId7">
        <w:r>
          <w:rPr/>
          <w:t>части 1 статьи 3</w:t>
        </w:r>
      </w:hyperlink>
      <w:r>
        <w:rPr/>
        <w:t> Закона о закупках)</w:t>
      </w:r>
      <w:r>
        <w:rPr>
          <w:color w:val="0000FF"/>
        </w:rPr>
        <w:t>.</w:t>
      </w:r>
    </w:p>
    <w:p>
      <w:pPr>
        <w:pStyle w:val="BodyText"/>
        <w:spacing w:line="360" w:lineRule="auto" w:before="1"/>
        <w:ind w:right="140"/>
      </w:pPr>
      <w:r>
        <w:rPr/>
        <w:t>Требования к участникам закупки устанавливаются заказчиком в документации о конкурентной закупке в соответствии с утвержденным Положением о закупке (часть 6 статьи 3 Закона о закупках).</w:t>
      </w:r>
    </w:p>
    <w:p>
      <w:pPr>
        <w:pStyle w:val="BodyText"/>
        <w:spacing w:line="360" w:lineRule="auto" w:before="1"/>
        <w:ind w:right="136"/>
      </w:pPr>
      <w:r>
        <w:rPr/>
        <w:t>Таким образом, законодатель предоставляет заказчикам полномочия по формированию собственной системы закупок с учетом специфики осуществляемой деятельности, включая право на установление</w:t>
      </w:r>
      <w:r>
        <w:rPr>
          <w:spacing w:val="40"/>
        </w:rPr>
        <w:t> </w:t>
      </w:r>
      <w:r>
        <w:rPr/>
        <w:t>дополнительных</w:t>
      </w:r>
      <w:r>
        <w:rPr>
          <w:spacing w:val="-1"/>
        </w:rPr>
        <w:t> </w:t>
      </w:r>
      <w:r>
        <w:rPr/>
        <w:t>требований</w:t>
      </w:r>
      <w:r>
        <w:rPr>
          <w:spacing w:val="40"/>
        </w:rPr>
        <w:t> </w:t>
      </w:r>
      <w:r>
        <w:rPr/>
        <w:t>к</w:t>
      </w:r>
      <w:r>
        <w:rPr>
          <w:spacing w:val="-2"/>
        </w:rPr>
        <w:t> </w:t>
      </w:r>
      <w:r>
        <w:rPr/>
        <w:t>участникам</w:t>
      </w:r>
      <w:r>
        <w:rPr>
          <w:spacing w:val="-3"/>
        </w:rPr>
        <w:t> </w:t>
      </w:r>
      <w:r>
        <w:rPr/>
        <w:t>закупки. Вместе с тем</w:t>
      </w:r>
      <w:r>
        <w:rPr>
          <w:spacing w:val="-2"/>
        </w:rPr>
        <w:t> </w:t>
      </w:r>
      <w:r>
        <w:rPr/>
        <w:t>на заказчиков возлагается</w:t>
      </w:r>
      <w:r>
        <w:rPr>
          <w:spacing w:val="61"/>
        </w:rPr>
        <w:t> </w:t>
      </w:r>
      <w:r>
        <w:rPr/>
        <w:t>и</w:t>
      </w:r>
      <w:r>
        <w:rPr>
          <w:spacing w:val="62"/>
        </w:rPr>
        <w:t> </w:t>
      </w:r>
      <w:r>
        <w:rPr/>
        <w:t>императивная</w:t>
      </w:r>
      <w:r>
        <w:rPr>
          <w:spacing w:val="62"/>
        </w:rPr>
        <w:t> </w:t>
      </w:r>
      <w:r>
        <w:rPr/>
        <w:t>обязанность</w:t>
      </w:r>
      <w:r>
        <w:rPr>
          <w:spacing w:val="63"/>
        </w:rPr>
        <w:t> </w:t>
      </w:r>
      <w:r>
        <w:rPr/>
        <w:t>по</w:t>
      </w:r>
      <w:r>
        <w:rPr>
          <w:spacing w:val="62"/>
        </w:rPr>
        <w:t> </w:t>
      </w:r>
      <w:r>
        <w:rPr/>
        <w:t>соблюдению</w:t>
      </w:r>
      <w:r>
        <w:rPr>
          <w:spacing w:val="63"/>
        </w:rPr>
        <w:t> </w:t>
      </w:r>
      <w:r>
        <w:rPr>
          <w:spacing w:val="-2"/>
        </w:rPr>
        <w:t>основополагающих</w:t>
      </w:r>
    </w:p>
    <w:p>
      <w:pPr>
        <w:pStyle w:val="BodyText"/>
        <w:spacing w:after="0" w:line="360" w:lineRule="auto"/>
        <w:sectPr>
          <w:pgSz w:w="11910" w:h="16840"/>
          <w:pgMar w:header="681" w:footer="0" w:top="980" w:bottom="280" w:left="425" w:right="708"/>
        </w:sectPr>
      </w:pPr>
    </w:p>
    <w:p>
      <w:pPr>
        <w:pStyle w:val="BodyText"/>
        <w:spacing w:line="357" w:lineRule="auto" w:before="133"/>
        <w:ind w:right="144" w:firstLine="0"/>
      </w:pPr>
      <w:r>
        <w:rPr/>
        <w:t>принципов закупочной деятельности при разработке и применении указанных </w:t>
      </w:r>
      <w:r>
        <w:rPr>
          <w:spacing w:val="-2"/>
        </w:rPr>
        <w:t>требований.</w:t>
      </w:r>
    </w:p>
    <w:p>
      <w:pPr>
        <w:pStyle w:val="BodyText"/>
        <w:spacing w:line="360" w:lineRule="auto" w:before="5"/>
        <w:ind w:right="139"/>
      </w:pPr>
      <w:r>
        <w:rPr/>
        <w:t>Данный правовой механизм обеспечивает баланс между автономией заказчика в выстраивании закупочной системы и гарантией защиты прав и законных интересов участников закупок посредством соблюдения принципов равноправия и конкуренции.</w:t>
      </w:r>
    </w:p>
    <w:p>
      <w:pPr>
        <w:pStyle w:val="BodyText"/>
        <w:spacing w:line="360" w:lineRule="auto"/>
        <w:ind w:right="139"/>
      </w:pPr>
      <w:r>
        <w:rPr/>
        <w:t>Введение заказчиком в Положение о закупке спорного критерия привело</w:t>
      </w:r>
      <w:r>
        <w:rPr>
          <w:spacing w:val="40"/>
        </w:rPr>
        <w:t> </w:t>
      </w:r>
      <w:r>
        <w:rPr/>
        <w:t>к неправомерному сужению круга потенциальных участников закупки, что противоречит основополагающим принципам закупочной деятельности и нормам антимонопольного законодательства. Условия, зафиксированные в Положении о закупке, носят дискриминационный характер и ограничивают конкуренцию, ущемляя права лиц, ранее реализовавших законное право на обжалование действий заказчика.</w:t>
      </w:r>
    </w:p>
    <w:p>
      <w:pPr>
        <w:pStyle w:val="BodyText"/>
        <w:spacing w:line="360" w:lineRule="auto"/>
        <w:ind w:right="141"/>
      </w:pPr>
      <w:r>
        <w:rPr/>
        <w:t>В ходе проверки антимонопольный орган выявил нарушения принципов, закрепленных в пункте</w:t>
      </w:r>
      <w:r>
        <w:rPr>
          <w:spacing w:val="40"/>
        </w:rPr>
        <w:t> </w:t>
      </w:r>
      <w:r>
        <w:rPr/>
        <w:t>2 части 1 статьи 3 Закона о закупках (равноправие, справедливость, отсутствие дискриминации и необоснованных ограничений конкуренции), что негативно отразилось на положении общества «Катод Защита», ранее воспользовавшегося правом на обжалование действий</w:t>
      </w:r>
      <w:r>
        <w:rPr>
          <w:spacing w:val="40"/>
        </w:rPr>
        <w:t> </w:t>
      </w:r>
      <w:r>
        <w:rPr>
          <w:spacing w:val="-2"/>
        </w:rPr>
        <w:t>заказчика.</w:t>
      </w:r>
    </w:p>
    <w:p>
      <w:pPr>
        <w:pStyle w:val="BodyText"/>
        <w:spacing w:line="360" w:lineRule="auto" w:before="2"/>
        <w:ind w:right="137"/>
      </w:pPr>
      <w:r>
        <w:rPr/>
        <w:t>При таких обстоятельствах Судебная коллегия Верховного Суда Российской Федерации считает, что принятое по делу постановление суда кассационной инстанции подлежит отмене на основании части 1 статьи</w:t>
      </w:r>
      <w:r>
        <w:rPr>
          <w:spacing w:val="-1"/>
        </w:rPr>
        <w:t> </w:t>
      </w:r>
      <w:r>
        <w:rPr/>
        <w:t>291</w:t>
      </w:r>
      <w:r>
        <w:rPr>
          <w:vertAlign w:val="superscript"/>
        </w:rPr>
        <w:t>11</w:t>
      </w:r>
      <w:r>
        <w:rPr>
          <w:vertAlign w:val="baseline"/>
        </w:rPr>
        <w:t> Арбитражного процессуального кодекса Российской Федерации в связи с допущенным судом существенным нарушением норм материального права.</w:t>
      </w:r>
    </w:p>
    <w:p>
      <w:pPr>
        <w:pStyle w:val="BodyText"/>
        <w:spacing w:line="362" w:lineRule="auto" w:before="2"/>
        <w:ind w:right="134"/>
      </w:pPr>
      <w:r>
        <w:rPr/>
        <w:t>Постановление арбитражного суда апелляционной инстанции по делу подлежит оставлению в силе.</w:t>
      </w:r>
    </w:p>
    <w:p>
      <w:pPr>
        <w:pStyle w:val="BodyText"/>
        <w:spacing w:line="360" w:lineRule="auto"/>
        <w:ind w:right="136" w:firstLine="850"/>
      </w:pPr>
      <w:r>
        <w:rPr/>
        <w:t>Руководствуясь статьями 176, 291</w:t>
      </w:r>
      <w:r>
        <w:rPr>
          <w:vertAlign w:val="superscript"/>
        </w:rPr>
        <w:t>11</w:t>
      </w:r>
      <w:r>
        <w:rPr>
          <w:vertAlign w:val="baseline"/>
        </w:rPr>
        <w:t> - 291</w:t>
      </w:r>
      <w:r>
        <w:rPr>
          <w:vertAlign w:val="superscript"/>
        </w:rPr>
        <w:t>15</w:t>
      </w:r>
      <w:r>
        <w:rPr>
          <w:vertAlign w:val="baseline"/>
        </w:rPr>
        <w:t> Арбитражного процессуального</w:t>
      </w:r>
      <w:r>
        <w:rPr>
          <w:spacing w:val="80"/>
          <w:vertAlign w:val="baseline"/>
        </w:rPr>
        <w:t>  </w:t>
      </w:r>
      <w:r>
        <w:rPr>
          <w:vertAlign w:val="baseline"/>
        </w:rPr>
        <w:t>кодекса</w:t>
      </w:r>
      <w:r>
        <w:rPr>
          <w:spacing w:val="80"/>
          <w:vertAlign w:val="baseline"/>
        </w:rPr>
        <w:t>  </w:t>
      </w:r>
      <w:r>
        <w:rPr>
          <w:vertAlign w:val="baseline"/>
        </w:rPr>
        <w:t>Российской</w:t>
      </w:r>
      <w:r>
        <w:rPr>
          <w:spacing w:val="80"/>
          <w:vertAlign w:val="baseline"/>
        </w:rPr>
        <w:t>  </w:t>
      </w:r>
      <w:r>
        <w:rPr>
          <w:vertAlign w:val="baseline"/>
        </w:rPr>
        <w:t>Федерации,</w:t>
      </w:r>
      <w:r>
        <w:rPr>
          <w:spacing w:val="80"/>
          <w:vertAlign w:val="baseline"/>
        </w:rPr>
        <w:t>  </w:t>
      </w:r>
      <w:r>
        <w:rPr>
          <w:vertAlign w:val="baseline"/>
        </w:rPr>
        <w:t>Судебная</w:t>
      </w:r>
      <w:r>
        <w:rPr>
          <w:spacing w:val="80"/>
          <w:vertAlign w:val="baseline"/>
        </w:rPr>
        <w:t>  </w:t>
      </w:r>
      <w:r>
        <w:rPr>
          <w:vertAlign w:val="baseline"/>
        </w:rPr>
        <w:t>коллегия по экономическим спорам</w:t>
      </w:r>
      <w:r>
        <w:rPr>
          <w:spacing w:val="40"/>
          <w:vertAlign w:val="baseline"/>
        </w:rPr>
        <w:t> </w:t>
      </w:r>
      <w:r>
        <w:rPr>
          <w:vertAlign w:val="baseline"/>
        </w:rPr>
        <w:t>Верховного Суда Российской Федерации</w:t>
      </w:r>
    </w:p>
    <w:p>
      <w:pPr>
        <w:pStyle w:val="BodyText"/>
        <w:spacing w:after="0" w:line="360" w:lineRule="auto"/>
        <w:sectPr>
          <w:pgSz w:w="11910" w:h="16840"/>
          <w:pgMar w:header="681" w:footer="0" w:top="980" w:bottom="280" w:left="425" w:right="708"/>
        </w:sectPr>
      </w:pPr>
    </w:p>
    <w:p>
      <w:pPr>
        <w:pStyle w:val="BodyText"/>
        <w:spacing w:before="133"/>
        <w:ind w:left="5082" w:firstLine="0"/>
        <w:jc w:val="left"/>
      </w:pPr>
      <w:r>
        <w:rPr>
          <w:spacing w:val="-2"/>
          <w:w w:val="150"/>
        </w:rPr>
        <w:t>определила:</w:t>
      </w:r>
    </w:p>
    <w:p>
      <w:pPr>
        <w:pStyle w:val="BodyText"/>
        <w:spacing w:before="321"/>
        <w:ind w:left="0" w:firstLine="0"/>
        <w:jc w:val="left"/>
      </w:pPr>
    </w:p>
    <w:p>
      <w:pPr>
        <w:pStyle w:val="BodyText"/>
        <w:spacing w:line="362" w:lineRule="auto"/>
        <w:ind w:firstLine="0"/>
        <w:jc w:val="left"/>
      </w:pPr>
      <w:r>
        <w:rPr/>
        <w:t>постановление Арбитражного суда</w:t>
      </w:r>
      <w:r>
        <w:rPr>
          <w:spacing w:val="80"/>
        </w:rPr>
        <w:t> </w:t>
      </w:r>
      <w:r>
        <w:rPr/>
        <w:t>Центрального округа от 18 июля 2025г. по делу № А14-7449/2024 Арбитражного суда Воронежской области отменить.</w:t>
      </w:r>
    </w:p>
    <w:p>
      <w:pPr>
        <w:pStyle w:val="BodyText"/>
        <w:tabs>
          <w:tab w:pos="3786" w:val="left" w:leader="none"/>
          <w:tab w:pos="5951" w:val="left" w:leader="none"/>
          <w:tab w:pos="7900" w:val="left" w:leader="none"/>
          <w:tab w:pos="10103" w:val="left" w:leader="none"/>
        </w:tabs>
        <w:spacing w:line="362" w:lineRule="auto"/>
        <w:ind w:right="142"/>
        <w:jc w:val="left"/>
      </w:pPr>
      <w:r>
        <w:rPr>
          <w:spacing w:val="-2"/>
        </w:rPr>
        <w:t>Постановление</w:t>
      </w:r>
      <w:r>
        <w:rPr/>
        <w:tab/>
      </w:r>
      <w:r>
        <w:rPr>
          <w:spacing w:val="-2"/>
        </w:rPr>
        <w:t>Девятнадцатого</w:t>
      </w:r>
      <w:r>
        <w:rPr/>
        <w:tab/>
      </w:r>
      <w:r>
        <w:rPr>
          <w:spacing w:val="-2"/>
        </w:rPr>
        <w:t>арбитражного</w:t>
      </w:r>
      <w:r>
        <w:rPr/>
        <w:tab/>
      </w:r>
      <w:r>
        <w:rPr>
          <w:spacing w:val="-2"/>
        </w:rPr>
        <w:t>апелляционного</w:t>
      </w:r>
      <w:r>
        <w:rPr/>
        <w:tab/>
      </w:r>
      <w:r>
        <w:rPr>
          <w:spacing w:val="-4"/>
        </w:rPr>
        <w:t>суда </w:t>
      </w:r>
      <w:r>
        <w:rPr/>
        <w:t>от 28 февраля 2025 г.</w:t>
      </w:r>
      <w:r>
        <w:rPr>
          <w:spacing w:val="40"/>
        </w:rPr>
        <w:t> </w:t>
      </w:r>
      <w:r>
        <w:rPr/>
        <w:t>по тому же делу оставить в силе.</w:t>
      </w:r>
    </w:p>
    <w:p>
      <w:pPr>
        <w:pStyle w:val="BodyText"/>
        <w:spacing w:before="264"/>
        <w:ind w:left="0" w:firstLine="0"/>
        <w:jc w:val="left"/>
      </w:pPr>
    </w:p>
    <w:p>
      <w:pPr>
        <w:pStyle w:val="BodyText"/>
        <w:tabs>
          <w:tab w:pos="8453" w:val="left" w:leader="none"/>
        </w:tabs>
        <w:ind w:firstLine="0"/>
        <w:jc w:val="left"/>
      </w:pPr>
      <w:r>
        <w:rPr/>
        <w:t>Председательствующий</w:t>
      </w:r>
      <w:r>
        <w:rPr>
          <w:spacing w:val="-13"/>
        </w:rPr>
        <w:t> </w:t>
      </w:r>
      <w:r>
        <w:rPr>
          <w:spacing w:val="-4"/>
        </w:rPr>
        <w:t>судья</w:t>
      </w:r>
      <w:r>
        <w:rPr/>
        <w:tab/>
        <w:t>А.А.</w:t>
      </w:r>
      <w:r>
        <w:rPr>
          <w:spacing w:val="-7"/>
        </w:rPr>
        <w:t> </w:t>
      </w:r>
      <w:r>
        <w:rPr>
          <w:spacing w:val="-2"/>
        </w:rPr>
        <w:t>Якимов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4"/>
        <w:ind w:left="0" w:firstLine="0"/>
        <w:jc w:val="left"/>
      </w:pPr>
    </w:p>
    <w:p>
      <w:pPr>
        <w:pStyle w:val="BodyText"/>
        <w:tabs>
          <w:tab w:pos="8528" w:val="left" w:leader="none"/>
        </w:tabs>
        <w:ind w:firstLine="0"/>
        <w:jc w:val="left"/>
      </w:pPr>
      <w:r>
        <w:rPr>
          <w:spacing w:val="-2"/>
        </w:rPr>
        <w:t>Судьи</w:t>
      </w:r>
      <w:r>
        <w:rPr/>
        <w:tab/>
        <w:t>М.К. </w:t>
      </w:r>
      <w:r>
        <w:rPr>
          <w:spacing w:val="-2"/>
        </w:rPr>
        <w:t>Антонова</w:t>
      </w:r>
    </w:p>
    <w:p>
      <w:pPr>
        <w:pStyle w:val="BodyText"/>
        <w:spacing w:before="321"/>
        <w:ind w:left="0" w:firstLine="0"/>
        <w:jc w:val="left"/>
      </w:pPr>
    </w:p>
    <w:p>
      <w:pPr>
        <w:pStyle w:val="BodyText"/>
        <w:spacing w:before="1"/>
        <w:ind w:left="0" w:right="598" w:firstLine="0"/>
        <w:jc w:val="right"/>
      </w:pPr>
      <w:r>
        <w:rPr/>
        <w:t>Т.В.</w:t>
      </w:r>
      <w:r>
        <w:rPr>
          <w:spacing w:val="1"/>
        </w:rPr>
        <w:t> </w:t>
      </w:r>
      <w:r>
        <w:rPr>
          <w:spacing w:val="-2"/>
        </w:rPr>
        <w:t>Завьялова</w:t>
      </w:r>
    </w:p>
    <w:sectPr>
      <w:pgSz w:w="11910" w:h="16840"/>
      <w:pgMar w:header="681" w:footer="0" w:top="980" w:bottom="28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2576">
              <wp:simplePos x="0" y="0"/>
              <wp:positionH relativeFrom="page">
                <wp:posOffset>3859276</wp:posOffset>
              </wp:positionH>
              <wp:positionV relativeFrom="page">
                <wp:posOffset>419791</wp:posOffset>
              </wp:positionV>
              <wp:extent cx="203200" cy="2228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8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880005pt;margin-top:33.054413pt;width:16pt;height:17.55pt;mso-position-horizontal-relative:page;mso-position-vertical-relative:page;z-index:-158039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8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995" w:firstLine="71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676" w:right="1854" w:hanging="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482901&amp;dst=100033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2026-02-05T22:05:09Z</dcterms:created>
  <dcterms:modified xsi:type="dcterms:W3CDTF">2026-02-05T22:05:09Z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PDFsharp 1.50.4740 (www.pdfsharp.com)</vt:lpwstr>
  </property>
  <property fmtid="{D5CDD505-2E9C-101B-9397-08002B2CF9AE}" pid="4" name="LastSaved">
    <vt:filetime>2026-02-05T00:00:00Z</vt:filetime>
  </property>
  <property fmtid="{D5CDD505-2E9C-101B-9397-08002B2CF9AE}" pid="5" name="Producer">
    <vt:lpwstr>3-Heights(TM) PDF Security Shell 4.8.25.2 (http://www.pdf-tools.com)</vt:lpwstr>
  </property>
</Properties>
</file>