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12CB" w14:textId="77777777" w:rsidR="001E3ACE" w:rsidRDefault="001E3ACE">
      <w:pPr>
        <w:pStyle w:val="a9"/>
        <w:spacing w:before="0" w:line="20" w:lineRule="exact"/>
        <w:rPr>
          <w:rFonts w:ascii="PT Astra Serif" w:hAnsi="PT Astra Serif"/>
        </w:rPr>
      </w:pPr>
    </w:p>
    <w:p w14:paraId="6DCFE503" w14:textId="77777777" w:rsidR="001E3ACE" w:rsidRDefault="00026377">
      <w:pPr>
        <w:pStyle w:val="a9"/>
        <w:spacing w:before="0"/>
        <w:rPr>
          <w:rFonts w:ascii="PT Astra Serif" w:hAnsi="PT Astra Serif"/>
        </w:rPr>
      </w:pPr>
      <w:r>
        <w:rPr>
          <w:rFonts w:ascii="PT Astra Serif" w:hAnsi="PT Astra Serif"/>
        </w:rPr>
        <w:t>Вносится Правительством Российской Федерации</w:t>
      </w:r>
    </w:p>
    <w:p w14:paraId="5B919A40" w14:textId="77777777" w:rsidR="001E3ACE" w:rsidRDefault="00026377">
      <w:pPr>
        <w:pStyle w:val="a9"/>
        <w:ind w:left="8078" w:right="11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14:paraId="7BD77452" w14:textId="77777777" w:rsidR="001E3ACE" w:rsidRDefault="00026377">
      <w:pPr>
        <w:pStyle w:val="af3"/>
        <w:spacing w:after="760"/>
        <w:rPr>
          <w:rFonts w:ascii="PT Astra Serif" w:hAnsi="PT Astra Serif"/>
          <w:sz w:val="30"/>
        </w:rPr>
      </w:pPr>
      <w:bookmarkStart w:id="0" w:name="EditableArea"/>
      <w:r>
        <w:rPr>
          <w:rFonts w:ascii="PT Astra Serif" w:hAnsi="PT Astra Serif"/>
          <w:sz w:val="30"/>
        </w:rPr>
        <w:t>ФЕДЕРАЛЬНЫЙ ЗАКОН</w:t>
      </w:r>
    </w:p>
    <w:p w14:paraId="13965D49" w14:textId="77777777" w:rsidR="001E3ACE" w:rsidRDefault="00026377">
      <w:pPr>
        <w:pStyle w:val="ab"/>
        <w:spacing w:before="0" w:line="240" w:lineRule="atLeast"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 xml:space="preserve">О внесении изменений в Арбитражный процессуальный кодекс Российской Федерации и Гражданский процессуальный кодекс Российской Федерации </w:t>
      </w:r>
    </w:p>
    <w:p w14:paraId="0A8577CA" w14:textId="77777777" w:rsidR="001E3ACE" w:rsidRDefault="001E3ACE">
      <w:pPr>
        <w:pStyle w:val="af1"/>
        <w:spacing w:before="0" w:line="240" w:lineRule="atLeast"/>
        <w:rPr>
          <w:rFonts w:ascii="PT Astra Serif" w:hAnsi="PT Astra Serif"/>
          <w:b/>
          <w:sz w:val="30"/>
        </w:rPr>
      </w:pPr>
    </w:p>
    <w:p w14:paraId="3D5131B0" w14:textId="77777777" w:rsidR="001E3ACE" w:rsidRDefault="00026377" w:rsidP="00C27F7C">
      <w:pPr>
        <w:spacing w:before="480" w:line="468" w:lineRule="auto"/>
        <w:ind w:firstLine="709"/>
        <w:contextualSpacing/>
        <w:rPr>
          <w:rFonts w:ascii="PT Astra Serif" w:hAnsi="PT Astra Serif"/>
          <w:b/>
          <w:sz w:val="30"/>
        </w:rPr>
      </w:pPr>
      <w:r>
        <w:rPr>
          <w:rFonts w:ascii="PT Astra Serif" w:hAnsi="PT Astra Serif"/>
          <w:b/>
          <w:sz w:val="30"/>
        </w:rPr>
        <w:t xml:space="preserve">Статья 1 </w:t>
      </w:r>
    </w:p>
    <w:p w14:paraId="6EEBF457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Статью 138</w:t>
      </w:r>
      <w:r>
        <w:rPr>
          <w:rFonts w:ascii="PT Astra Serif" w:hAnsi="PT Astra Serif"/>
          <w:sz w:val="30"/>
          <w:vertAlign w:val="superscript"/>
        </w:rPr>
        <w:t>4</w:t>
      </w:r>
      <w:r>
        <w:rPr>
          <w:rFonts w:ascii="PT Astra Serif" w:hAnsi="PT Astra Serif"/>
          <w:sz w:val="30"/>
        </w:rPr>
        <w:t xml:space="preserve"> Арбитражного процессуального кодекса Российской Федерации (Собрание законодательства Российской Федерации, </w:t>
      </w:r>
      <w:r>
        <w:rPr>
          <w:rFonts w:ascii="PT Astra Serif" w:hAnsi="PT Astra Serif"/>
          <w:sz w:val="30"/>
        </w:rPr>
        <w:br/>
        <w:t>2002, № 30, ст. 3012;</w:t>
      </w:r>
      <w:r>
        <w:rPr>
          <w:rStyle w:val="1f3"/>
          <w:rFonts w:ascii="PT Astra Serif" w:hAnsi="PT Astra Serif"/>
          <w:sz w:val="30"/>
        </w:rPr>
        <w:t xml:space="preserve"> 2019, № 30, ст. 4099)</w:t>
      </w:r>
      <w:r>
        <w:rPr>
          <w:rFonts w:ascii="PT Astra Serif" w:hAnsi="PT Astra Serif"/>
          <w:sz w:val="30"/>
        </w:rPr>
        <w:t> дополнить частями 3-5 следующего содержания:</w:t>
      </w:r>
    </w:p>
    <w:p w14:paraId="6D09B1C7" w14:textId="44C3CCD0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>"3. Стороны обязаны представить в суд информацию о выбранном или назначенном для урегулирования спора медиаторе, осуществляющем свою деятельность на профессиональной основе, а также документы, подтверждающие его соответствие требованиям, установленным федеральным законом</w:t>
      </w:r>
      <w:r w:rsidR="00147FF4">
        <w:rPr>
          <w:rStyle w:val="1f3"/>
          <w:rFonts w:ascii="PT Astra Serif" w:hAnsi="PT Astra Serif"/>
          <w:sz w:val="30"/>
        </w:rPr>
        <w:t xml:space="preserve">, </w:t>
      </w:r>
      <w:r w:rsidR="00C27F7C">
        <w:rPr>
          <w:rStyle w:val="1f3"/>
          <w:rFonts w:ascii="PT Astra Serif" w:hAnsi="PT Astra Serif"/>
          <w:sz w:val="30"/>
        </w:rPr>
        <w:t xml:space="preserve">в срок </w:t>
      </w:r>
      <w:r w:rsidR="00147FF4">
        <w:rPr>
          <w:rStyle w:val="1f3"/>
          <w:rFonts w:ascii="PT Astra Serif" w:hAnsi="PT Astra Serif"/>
          <w:sz w:val="30"/>
        </w:rPr>
        <w:t xml:space="preserve">не позднее </w:t>
      </w:r>
      <w:r w:rsidR="00BD4F2C">
        <w:rPr>
          <w:rStyle w:val="1f3"/>
          <w:rFonts w:ascii="PT Astra Serif" w:hAnsi="PT Astra Serif"/>
          <w:sz w:val="30"/>
        </w:rPr>
        <w:t>семи</w:t>
      </w:r>
      <w:r w:rsidR="00147FF4">
        <w:rPr>
          <w:rStyle w:val="1f3"/>
          <w:rFonts w:ascii="PT Astra Serif" w:hAnsi="PT Astra Serif"/>
          <w:sz w:val="30"/>
        </w:rPr>
        <w:t xml:space="preserve"> дней с даты его избрания или назначения</w:t>
      </w:r>
      <w:r>
        <w:rPr>
          <w:rStyle w:val="1f3"/>
          <w:rFonts w:ascii="PT Astra Serif" w:hAnsi="PT Astra Serif"/>
          <w:sz w:val="30"/>
        </w:rPr>
        <w:t>.</w:t>
      </w:r>
    </w:p>
    <w:p w14:paraId="27F60905" w14:textId="77777777" w:rsidR="001E3ACE" w:rsidRDefault="00026377" w:rsidP="00C27F7C">
      <w:pPr>
        <w:spacing w:line="468" w:lineRule="auto"/>
        <w:ind w:firstLine="709"/>
        <w:contextualSpacing/>
        <w:rPr>
          <w:rStyle w:val="1f3"/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 xml:space="preserve">4. По ходатайству сторон или по инициативе суда при согласии сторон суд вправе признать необходимой явку в судебное заседание медиатора, </w:t>
      </w:r>
      <w:r>
        <w:rPr>
          <w:rStyle w:val="1f3"/>
          <w:rFonts w:ascii="PT Astra Serif" w:hAnsi="PT Astra Serif"/>
          <w:sz w:val="30"/>
        </w:rPr>
        <w:lastRenderedPageBreak/>
        <w:t xml:space="preserve">выбранного или назначенного для урегулирования спора. </w:t>
      </w:r>
      <w:r>
        <w:rPr>
          <w:rStyle w:val="1f3"/>
          <w:rFonts w:ascii="PT Astra Serif" w:hAnsi="PT Astra Serif"/>
          <w:sz w:val="30"/>
        </w:rPr>
        <w:br/>
        <w:t xml:space="preserve">При согласии сторон медиатор в судебном заседании вправе отвечать </w:t>
      </w:r>
      <w:r>
        <w:rPr>
          <w:rStyle w:val="1f3"/>
          <w:rFonts w:ascii="PT Astra Serif" w:hAnsi="PT Astra Serif"/>
          <w:sz w:val="30"/>
        </w:rPr>
        <w:br/>
        <w:t>на поставленные вопросы и давать в устной форме пояснения, относящиеся к процедуре медиации и разглашать информацию, ставшую ему известной при проведении такой процедуры.</w:t>
      </w:r>
    </w:p>
    <w:p w14:paraId="24C4C3AF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>Медиатор не вправе совершать действия, влекущие за собой возникновение, изменение либо прекращение прав или обязанностей лиц, участвующих в деле, и других участников арбитражного процесса.</w:t>
      </w:r>
    </w:p>
    <w:p w14:paraId="2B93D343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>5. Судья вправе запросить информацию о ходе примирительной процедуры. Если такой запрос направляется медиатору, медиатор в ответе на запрос суда не вправе без согласия сторон разглашать информацию, относящуюся к существу спора и ставшую ему известной при проведении процедуры медиации.";</w:t>
      </w:r>
    </w:p>
    <w:p w14:paraId="611C7E24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b/>
          <w:sz w:val="30"/>
        </w:rPr>
      </w:pPr>
      <w:r>
        <w:rPr>
          <w:rFonts w:ascii="PT Astra Serif" w:hAnsi="PT Astra Serif"/>
          <w:b/>
          <w:sz w:val="30"/>
        </w:rPr>
        <w:t xml:space="preserve">Статья 2 </w:t>
      </w:r>
    </w:p>
    <w:p w14:paraId="1D200BE3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Fonts w:ascii="PT Astra Serif" w:hAnsi="PT Astra Serif"/>
          <w:sz w:val="30"/>
        </w:rPr>
        <w:t>Статью 153</w:t>
      </w:r>
      <w:r>
        <w:rPr>
          <w:rFonts w:ascii="PT Astra Serif" w:hAnsi="PT Astra Serif"/>
          <w:sz w:val="30"/>
          <w:vertAlign w:val="superscript"/>
        </w:rPr>
        <w:t>5</w:t>
      </w:r>
      <w:r>
        <w:rPr>
          <w:rFonts w:ascii="PT Astra Serif" w:hAnsi="PT Astra Serif"/>
          <w:sz w:val="30"/>
        </w:rPr>
        <w:t xml:space="preserve"> Гражданского процессуального кодекса Российской Федерации (Собрание законодательства Российской Федерации, 2002, № 46, ст. 453</w:t>
      </w:r>
      <w:r>
        <w:rPr>
          <w:rStyle w:val="1f3"/>
          <w:rFonts w:ascii="PT Astra Serif" w:hAnsi="PT Astra Serif"/>
          <w:sz w:val="30"/>
        </w:rPr>
        <w:t xml:space="preserve">2; 2019, № 30, ст. 4099) </w:t>
      </w:r>
      <w:r>
        <w:rPr>
          <w:rFonts w:ascii="PT Astra Serif" w:hAnsi="PT Astra Serif"/>
          <w:sz w:val="30"/>
        </w:rPr>
        <w:t>дополнить частями 3-5 следующего содержания:</w:t>
      </w:r>
    </w:p>
    <w:p w14:paraId="7174D103" w14:textId="532AE064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>"</w:t>
      </w:r>
      <w:r w:rsidR="00C27F7C" w:rsidRPr="00C27F7C">
        <w:rPr>
          <w:rFonts w:ascii="PT Astra Serif" w:hAnsi="PT Astra Serif"/>
          <w:sz w:val="30"/>
        </w:rPr>
        <w:t xml:space="preserve">3. Стороны обязаны представить в суд информацию о выбранном или назначенном для урегулирования спора медиаторе, осуществляющем свою деятельность на профессиональной основе, а также документы, </w:t>
      </w:r>
      <w:r w:rsidR="00C27F7C" w:rsidRPr="00C27F7C">
        <w:rPr>
          <w:rFonts w:ascii="PT Astra Serif" w:hAnsi="PT Astra Serif"/>
          <w:sz w:val="30"/>
        </w:rPr>
        <w:lastRenderedPageBreak/>
        <w:t xml:space="preserve">подтверждающие его соответствие требованиям, установленным федеральным законом, </w:t>
      </w:r>
      <w:r w:rsidR="00C27F7C">
        <w:rPr>
          <w:rFonts w:ascii="PT Astra Serif" w:hAnsi="PT Astra Serif"/>
          <w:sz w:val="30"/>
        </w:rPr>
        <w:t xml:space="preserve">в срок </w:t>
      </w:r>
      <w:r w:rsidR="00C27F7C" w:rsidRPr="00C27F7C">
        <w:rPr>
          <w:rFonts w:ascii="PT Astra Serif" w:hAnsi="PT Astra Serif"/>
          <w:sz w:val="30"/>
        </w:rPr>
        <w:t xml:space="preserve">не позднее </w:t>
      </w:r>
      <w:r w:rsidR="00BD4F2C">
        <w:rPr>
          <w:rFonts w:ascii="PT Astra Serif" w:hAnsi="PT Astra Serif"/>
          <w:sz w:val="30"/>
        </w:rPr>
        <w:t>семи</w:t>
      </w:r>
      <w:r w:rsidR="00C27F7C" w:rsidRPr="00C27F7C">
        <w:rPr>
          <w:rFonts w:ascii="PT Astra Serif" w:hAnsi="PT Astra Serif"/>
          <w:sz w:val="30"/>
        </w:rPr>
        <w:t xml:space="preserve"> дней с даты его избрания или назначения.</w:t>
      </w:r>
    </w:p>
    <w:p w14:paraId="29836038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 xml:space="preserve">4. По ходатайству сторон или по инициативе суда при согласии сторон суд вправе признать необходимой явку в судебное заседание медиатора, выбранного или назначенного для урегулирования спора. </w:t>
      </w:r>
      <w:r>
        <w:rPr>
          <w:rStyle w:val="1f3"/>
          <w:rFonts w:ascii="PT Astra Serif" w:hAnsi="PT Astra Serif"/>
          <w:sz w:val="30"/>
        </w:rPr>
        <w:br/>
        <w:t xml:space="preserve">При согласии сторон медиатор в судебном заседании вправе отвечать </w:t>
      </w:r>
      <w:r>
        <w:rPr>
          <w:rStyle w:val="1f3"/>
          <w:rFonts w:ascii="PT Astra Serif" w:hAnsi="PT Astra Serif"/>
          <w:sz w:val="30"/>
        </w:rPr>
        <w:br/>
        <w:t>на поставленные вопросы и давать в устной форме пояснения, относящиеся к процедуре медиации и разглашать информацию, ставшую ему известной при проведении такой процедуры.</w:t>
      </w:r>
    </w:p>
    <w:p w14:paraId="300F0F33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>Медиатор не вправе совершать действия, влекущие за собой возникновение, изменение либо прекращение прав или обязанностей лиц, участвующих в деле, и других участников арбитражного процесса.</w:t>
      </w:r>
    </w:p>
    <w:p w14:paraId="4CC6DC9C" w14:textId="77777777" w:rsidR="001E3ACE" w:rsidRDefault="00026377" w:rsidP="00C27F7C">
      <w:pPr>
        <w:spacing w:line="468" w:lineRule="auto"/>
        <w:ind w:firstLine="709"/>
        <w:contextualSpacing/>
        <w:rPr>
          <w:rFonts w:ascii="PT Astra Serif" w:hAnsi="PT Astra Serif"/>
          <w:sz w:val="30"/>
        </w:rPr>
      </w:pPr>
      <w:r>
        <w:rPr>
          <w:rStyle w:val="1f3"/>
          <w:rFonts w:ascii="PT Astra Serif" w:hAnsi="PT Astra Serif"/>
          <w:sz w:val="30"/>
        </w:rPr>
        <w:t>5. Судья вправе запросить информацию о ходе примирительной процедуры. Если такой запрос направляется медиатору, медиатор в ответе на запрос суда не вправе без согласия сторон разглашать информацию, относящуюся к существу спора и ставшую ему известной при проведении процедуры медиации.".</w:t>
      </w:r>
    </w:p>
    <w:p w14:paraId="040A38A6" w14:textId="77777777" w:rsidR="001E3ACE" w:rsidRDefault="00026377">
      <w:pPr>
        <w:pStyle w:val="af"/>
        <w:rPr>
          <w:rFonts w:ascii="PT Astra Serif" w:hAnsi="PT Astra Serif"/>
        </w:rPr>
      </w:pPr>
      <w:r>
        <w:rPr>
          <w:rFonts w:ascii="PT Astra Serif" w:hAnsi="PT Astra Serif"/>
        </w:rPr>
        <w:t>Президент</w:t>
      </w:r>
    </w:p>
    <w:p w14:paraId="172BE1F8" w14:textId="77777777" w:rsidR="001E3ACE" w:rsidRDefault="00026377">
      <w:pPr>
        <w:pStyle w:val="af"/>
        <w:rPr>
          <w:rFonts w:ascii="PT Astra Serif" w:hAnsi="PT Astra Serif"/>
        </w:rPr>
      </w:pPr>
      <w:r>
        <w:rPr>
          <w:rFonts w:ascii="PT Astra Serif" w:hAnsi="PT Astra Serif"/>
        </w:rPr>
        <w:t>Российской Федерации</w:t>
      </w:r>
      <w:bookmarkEnd w:id="0"/>
    </w:p>
    <w:sectPr w:rsidR="001E3ACE">
      <w:headerReference w:type="default" r:id="rId6"/>
      <w:type w:val="continuous"/>
      <w:pgSz w:w="11907" w:h="16840"/>
      <w:pgMar w:top="1418" w:right="737" w:bottom="1418" w:left="1418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E06C" w14:textId="77777777" w:rsidR="00B630C3" w:rsidRDefault="00026377">
      <w:pPr>
        <w:spacing w:line="240" w:lineRule="auto"/>
      </w:pPr>
      <w:r>
        <w:separator/>
      </w:r>
    </w:p>
  </w:endnote>
  <w:endnote w:type="continuationSeparator" w:id="0">
    <w:p w14:paraId="514A9FC1" w14:textId="77777777" w:rsidR="00B630C3" w:rsidRDefault="00026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9A46" w14:textId="77777777" w:rsidR="00B630C3" w:rsidRDefault="00026377">
      <w:pPr>
        <w:spacing w:line="240" w:lineRule="auto"/>
      </w:pPr>
      <w:r>
        <w:separator/>
      </w:r>
    </w:p>
  </w:footnote>
  <w:footnote w:type="continuationSeparator" w:id="0">
    <w:p w14:paraId="20080BF2" w14:textId="77777777" w:rsidR="00B630C3" w:rsidRDefault="00026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FA42" w14:textId="77777777" w:rsidR="001E3ACE" w:rsidRDefault="0002637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AF8997" wp14:editId="383E30D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53AF1" w14:textId="77777777" w:rsidR="001E3ACE" w:rsidRDefault="00026377">
                          <w:pPr>
                            <w:pStyle w:val="ad"/>
                            <w:rPr>
                              <w:rStyle w:val="1a"/>
                            </w:rPr>
                          </w:pPr>
                          <w:r>
                            <w:rPr>
                              <w:rStyle w:val="1a"/>
                            </w:rPr>
                            <w:fldChar w:fldCharType="begin"/>
                          </w:r>
                          <w:r>
                            <w:rPr>
                              <w:rStyle w:val="1a"/>
                            </w:rPr>
                            <w:instrText xml:space="preserve">PAGE </w:instrText>
                          </w:r>
                          <w:r>
                            <w:rPr>
                              <w:rStyle w:val="1a"/>
                            </w:rPr>
                            <w:fldChar w:fldCharType="separate"/>
                          </w:r>
                          <w:r>
                            <w:rPr>
                              <w:rStyle w:val="1a"/>
                            </w:rPr>
                            <w:t xml:space="preserve"> </w:t>
                          </w:r>
                          <w:r>
                            <w:rPr>
                              <w:rStyle w:val="1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CE"/>
    <w:rsid w:val="00026377"/>
    <w:rsid w:val="00147FF4"/>
    <w:rsid w:val="001E3ACE"/>
    <w:rsid w:val="00B630C3"/>
    <w:rsid w:val="00BD4F2C"/>
    <w:rsid w:val="00C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E552"/>
  <w15:docId w15:val="{0BA485D1-2CEB-446D-88AE-51D40867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360" w:lineRule="atLeast"/>
      <w:jc w:val="both"/>
    </w:pPr>
    <w:rPr>
      <w:rFonts w:ascii="Times New Roman CYR" w:hAnsi="Times New Roman CYR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 CYR" w:hAnsi="Times New Roman CYR"/>
      <w:sz w:val="28"/>
    </w:rPr>
  </w:style>
  <w:style w:type="character" w:customStyle="1" w:styleId="13">
    <w:name w:val="Обычный1"/>
    <w:link w:val="12"/>
    <w:rPr>
      <w:rFonts w:ascii="Times New Roman CYR" w:hAnsi="Times New Roman CYR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 CYR" w:hAnsi="Times New Roman CYR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примечания1"/>
    <w:basedOn w:val="15"/>
    <w:link w:val="16"/>
    <w:rPr>
      <w:sz w:val="16"/>
    </w:rPr>
  </w:style>
  <w:style w:type="character" w:customStyle="1" w:styleId="16">
    <w:name w:val="Знак примечания1"/>
    <w:basedOn w:val="17"/>
    <w:link w:val="14"/>
    <w:rPr>
      <w:sz w:val="16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Times New Roman CYR" w:hAnsi="Times New Roman CYR"/>
      <w:sz w:val="20"/>
    </w:rPr>
  </w:style>
  <w:style w:type="paragraph" w:customStyle="1" w:styleId="a9">
    <w:name w:val="Кем вносится"/>
    <w:basedOn w:val="a"/>
    <w:link w:val="aa"/>
    <w:pPr>
      <w:spacing w:before="480" w:line="240" w:lineRule="auto"/>
      <w:ind w:left="5954"/>
      <w:jc w:val="left"/>
    </w:pPr>
    <w:rPr>
      <w:rFonts w:ascii="Times New Roman" w:hAnsi="Times New Roman"/>
      <w:sz w:val="30"/>
    </w:rPr>
  </w:style>
  <w:style w:type="character" w:customStyle="1" w:styleId="aa">
    <w:name w:val="Кем вносится"/>
    <w:basedOn w:val="1"/>
    <w:link w:val="a9"/>
    <w:rPr>
      <w:rFonts w:ascii="Times New Roman" w:hAnsi="Times New Roman"/>
      <w:sz w:val="30"/>
    </w:rPr>
  </w:style>
  <w:style w:type="paragraph" w:customStyle="1" w:styleId="ab">
    <w:name w:val="Заголовок ФЗ"/>
    <w:link w:val="ac"/>
    <w:pPr>
      <w:spacing w:before="480" w:after="0" w:line="240" w:lineRule="auto"/>
      <w:jc w:val="center"/>
    </w:pPr>
    <w:rPr>
      <w:rFonts w:ascii="Times New Roman Полужирный" w:hAnsi="Times New Roman Полужирный"/>
      <w:b/>
      <w:sz w:val="28"/>
    </w:rPr>
  </w:style>
  <w:style w:type="character" w:customStyle="1" w:styleId="ac">
    <w:name w:val="Заголовок ФЗ"/>
    <w:link w:val="ab"/>
    <w:rPr>
      <w:rFonts w:ascii="Times New Roman Полужирный" w:hAnsi="Times New Roman Полужирный"/>
      <w:b/>
      <w:sz w:val="28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 CYR" w:hAnsi="Times New Roman CYR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Шаблон ФЗ_подпись"/>
    <w:link w:val="af0"/>
    <w:pPr>
      <w:spacing w:before="720" w:after="0" w:line="240" w:lineRule="auto"/>
      <w:ind w:right="6633"/>
      <w:contextualSpacing/>
      <w:jc w:val="center"/>
    </w:pPr>
    <w:rPr>
      <w:rFonts w:ascii="Times New Roman" w:hAnsi="Times New Roman"/>
      <w:sz w:val="30"/>
    </w:rPr>
  </w:style>
  <w:style w:type="character" w:customStyle="1" w:styleId="af0">
    <w:name w:val="Шаблон ФЗ_подпись"/>
    <w:link w:val="af"/>
    <w:rPr>
      <w:rFonts w:ascii="Times New Roman" w:hAnsi="Times New Roman"/>
      <w:sz w:val="30"/>
    </w:rPr>
  </w:style>
  <w:style w:type="paragraph" w:customStyle="1" w:styleId="18">
    <w:name w:val="Номер страницы1"/>
    <w:basedOn w:val="19"/>
    <w:link w:val="1a"/>
  </w:style>
  <w:style w:type="character" w:customStyle="1" w:styleId="1a">
    <w:name w:val="Номер страницы1"/>
    <w:basedOn w:val="1b"/>
    <w:link w:val="18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1">
    <w:name w:val="Шаблон Пояснительная записка ФЗ"/>
    <w:basedOn w:val="a"/>
    <w:link w:val="af2"/>
    <w:pPr>
      <w:spacing w:before="480" w:line="360" w:lineRule="exact"/>
      <w:ind w:firstLine="709"/>
      <w:contextualSpacing/>
    </w:pPr>
    <w:rPr>
      <w:rFonts w:ascii="Times New Roman" w:hAnsi="Times New Roman"/>
    </w:rPr>
  </w:style>
  <w:style w:type="character" w:customStyle="1" w:styleId="af2">
    <w:name w:val="Шаблон Пояснительная записка ФЗ"/>
    <w:basedOn w:val="1"/>
    <w:link w:val="af1"/>
    <w:rPr>
      <w:rFonts w:ascii="Times New Roman" w:hAnsi="Times New Roman"/>
      <w:sz w:val="28"/>
    </w:rPr>
  </w:style>
  <w:style w:type="paragraph" w:customStyle="1" w:styleId="af3">
    <w:name w:val="ФЕДЕРАЛЬНЫЙ ЗАКОН"/>
    <w:basedOn w:val="a"/>
    <w:link w:val="af4"/>
    <w:pPr>
      <w:spacing w:before="840" w:line="264" w:lineRule="auto"/>
      <w:jc w:val="center"/>
    </w:pPr>
    <w:rPr>
      <w:rFonts w:ascii="Times New Roman" w:hAnsi="Times New Roman"/>
      <w:b/>
      <w:sz w:val="44"/>
    </w:rPr>
  </w:style>
  <w:style w:type="character" w:customStyle="1" w:styleId="af4">
    <w:name w:val="ФЕДЕРАЛЬНЫЙ ЗАКОН"/>
    <w:basedOn w:val="1"/>
    <w:link w:val="af3"/>
    <w:rPr>
      <w:rFonts w:ascii="Times New Roman" w:hAnsi="Times New Roman"/>
      <w:b/>
      <w:sz w:val="44"/>
    </w:rPr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">
    <w:name w:val="Основной шрифт абзаца1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6">
    <w:name w:val="footer"/>
    <w:basedOn w:val="a"/>
    <w:link w:val="af7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 CYR" w:hAnsi="Times New Roman CYR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f2">
    <w:name w:val="Обычный1"/>
    <w:link w:val="1f3"/>
    <w:rPr>
      <w:rFonts w:ascii="Times New Roman CYR" w:hAnsi="Times New Roman CYR"/>
      <w:sz w:val="28"/>
    </w:rPr>
  </w:style>
  <w:style w:type="character" w:customStyle="1" w:styleId="1f3">
    <w:name w:val="Обычный1"/>
    <w:link w:val="1f2"/>
    <w:rPr>
      <w:rFonts w:ascii="Times New Roman CYR" w:hAnsi="Times New Roman CYR"/>
      <w:sz w:val="28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table" w:styleId="afc">
    <w:name w:val="Table Grid"/>
    <w:basedOn w:val="a1"/>
    <w:pPr>
      <w:spacing w:after="0" w:line="360" w:lineRule="atLeast"/>
      <w:jc w:val="both"/>
    </w:pPr>
    <w:rPr>
      <w:rFonts w:ascii="Times New Roman CYR" w:hAnsi="Times New Roman CYR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Табакова</cp:lastModifiedBy>
  <cp:revision>4</cp:revision>
  <dcterms:created xsi:type="dcterms:W3CDTF">2026-03-02T10:44:00Z</dcterms:created>
  <dcterms:modified xsi:type="dcterms:W3CDTF">2026-03-04T14:03:00Z</dcterms:modified>
</cp:coreProperties>
</file>