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EE" w:rsidRPr="008716EE" w:rsidRDefault="008716EE">
      <w:pPr>
        <w:pStyle w:val="ConsPlusNormal"/>
        <w:jc w:val="both"/>
        <w:outlineLvl w:val="0"/>
      </w:pPr>
      <w:bookmarkStart w:id="0" w:name="_GoBack"/>
    </w:p>
    <w:p w:rsidR="007F5327" w:rsidRPr="00860F1F" w:rsidRDefault="007F5327" w:rsidP="007F5327">
      <w:pPr>
        <w:jc w:val="both"/>
        <w:rPr>
          <w:rFonts w:ascii="Times New Roman" w:hAnsi="Times New Roman" w:cs="Times New Roman"/>
          <w:b/>
        </w:rPr>
      </w:pPr>
      <w:r w:rsidRPr="00860F1F">
        <w:rPr>
          <w:rFonts w:ascii="Times New Roman" w:hAnsi="Times New Roman" w:cs="Times New Roman"/>
          <w:b/>
        </w:rPr>
        <w:t>Минэкономразвития разъяснило возврат денег туристам через фонды туроператоров</w:t>
      </w:r>
    </w:p>
    <w:p w:rsidR="007F5327" w:rsidRPr="008867B2" w:rsidRDefault="007F5327" w:rsidP="007F5327">
      <w:pPr>
        <w:jc w:val="both"/>
        <w:rPr>
          <w:rFonts w:ascii="Times New Roman" w:hAnsi="Times New Roman" w:cs="Times New Roman"/>
        </w:rPr>
      </w:pPr>
      <w:r w:rsidRPr="008867B2">
        <w:rPr>
          <w:rFonts w:ascii="Times New Roman" w:hAnsi="Times New Roman" w:cs="Times New Roman"/>
        </w:rPr>
        <w:t xml:space="preserve">Минэкономразвития выпустило разъяснения о порядке </w:t>
      </w:r>
      <w:proofErr w:type="gramStart"/>
      <w:r w:rsidRPr="008867B2">
        <w:rPr>
          <w:rFonts w:ascii="Times New Roman" w:hAnsi="Times New Roman" w:cs="Times New Roman"/>
        </w:rPr>
        <w:t>использования средств фондов персональной ответственности туроператоров</w:t>
      </w:r>
      <w:proofErr w:type="gramEnd"/>
      <w:r w:rsidRPr="008867B2">
        <w:rPr>
          <w:rFonts w:ascii="Times New Roman" w:hAnsi="Times New Roman" w:cs="Times New Roman"/>
        </w:rPr>
        <w:t xml:space="preserve"> для возврата денег туристам. Речь идет о случаях, когда министерство публикует сообщения об угрозе безопасности в стране временного пребывания.</w:t>
      </w:r>
    </w:p>
    <w:p w:rsidR="007F5327" w:rsidRPr="008867B2" w:rsidRDefault="007F5327" w:rsidP="007F5327">
      <w:pPr>
        <w:jc w:val="both"/>
        <w:rPr>
          <w:rFonts w:ascii="Times New Roman" w:hAnsi="Times New Roman" w:cs="Times New Roman"/>
        </w:rPr>
      </w:pPr>
      <w:r w:rsidRPr="008867B2">
        <w:rPr>
          <w:rFonts w:ascii="Times New Roman" w:hAnsi="Times New Roman" w:cs="Times New Roman"/>
        </w:rPr>
        <w:t>Разъяснения касаются туров в ОАЭ, Саудовскую Аравию, Оман, Катар, Бахрейн, Кувейт, Иран и Израиль с датой начала путешествия с 28 февраля по 31 марта 2026 года. Чтобы воспользоваться механизмом, туроператор должен был направить уведомление в ассоциацию «</w:t>
      </w:r>
      <w:proofErr w:type="spellStart"/>
      <w:r w:rsidRPr="008867B2">
        <w:rPr>
          <w:rFonts w:ascii="Times New Roman" w:hAnsi="Times New Roman" w:cs="Times New Roman"/>
        </w:rPr>
        <w:t>Турпомощь</w:t>
      </w:r>
      <w:proofErr w:type="spellEnd"/>
      <w:r w:rsidRPr="008867B2">
        <w:rPr>
          <w:rFonts w:ascii="Times New Roman" w:hAnsi="Times New Roman" w:cs="Times New Roman"/>
        </w:rPr>
        <w:t>» не позднее 15 апреля 2026 года.</w:t>
      </w:r>
    </w:p>
    <w:p w:rsidR="007F5327" w:rsidRPr="008867B2" w:rsidRDefault="007F5327" w:rsidP="007F5327">
      <w:pPr>
        <w:jc w:val="both"/>
        <w:rPr>
          <w:rFonts w:ascii="Times New Roman" w:hAnsi="Times New Roman" w:cs="Times New Roman"/>
        </w:rPr>
      </w:pPr>
      <w:r w:rsidRPr="008867B2">
        <w:rPr>
          <w:rFonts w:ascii="Times New Roman" w:hAnsi="Times New Roman" w:cs="Times New Roman"/>
        </w:rPr>
        <w:t>После этого тури</w:t>
      </w:r>
      <w:proofErr w:type="gramStart"/>
      <w:r w:rsidRPr="008867B2">
        <w:rPr>
          <w:rFonts w:ascii="Times New Roman" w:hAnsi="Times New Roman" w:cs="Times New Roman"/>
        </w:rPr>
        <w:t>ст впр</w:t>
      </w:r>
      <w:proofErr w:type="gramEnd"/>
      <w:r w:rsidRPr="008867B2">
        <w:rPr>
          <w:rFonts w:ascii="Times New Roman" w:hAnsi="Times New Roman" w:cs="Times New Roman"/>
        </w:rPr>
        <w:t>аве в течение шести месяцев подать требование о возврате средств. Выплаты производит «</w:t>
      </w:r>
      <w:proofErr w:type="spellStart"/>
      <w:r w:rsidRPr="008867B2">
        <w:rPr>
          <w:rFonts w:ascii="Times New Roman" w:hAnsi="Times New Roman" w:cs="Times New Roman"/>
        </w:rPr>
        <w:t>Турпомощь</w:t>
      </w:r>
      <w:proofErr w:type="spellEnd"/>
      <w:r w:rsidRPr="008867B2">
        <w:rPr>
          <w:rFonts w:ascii="Times New Roman" w:hAnsi="Times New Roman" w:cs="Times New Roman"/>
        </w:rPr>
        <w:t>» в течение 60 рабочих дней после получения от туроператора реестра требований и необходимых документов.</w:t>
      </w:r>
    </w:p>
    <w:p w:rsidR="007F5327" w:rsidRPr="004D4E08" w:rsidRDefault="007F5327" w:rsidP="007F532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5327" w:rsidRPr="00306B35" w:rsidRDefault="007F5327" w:rsidP="007F5327">
      <w:pPr>
        <w:pStyle w:val="a7"/>
        <w:rPr>
          <w:rFonts w:ascii="Times New Roman" w:hAnsi="Times New Roman" w:cs="Times New Roman"/>
          <w:b/>
        </w:rPr>
      </w:pPr>
      <w:r w:rsidRPr="00306B35">
        <w:rPr>
          <w:rFonts w:ascii="Times New Roman" w:hAnsi="Times New Roman" w:cs="Times New Roman"/>
          <w:b/>
        </w:rPr>
        <w:t>Письмо Минэкономразвития России от 17.04.2026 N Д08и-12282</w:t>
      </w:r>
    </w:p>
    <w:p w:rsidR="007F5327" w:rsidRPr="00306B35" w:rsidRDefault="007F5327" w:rsidP="007F5327">
      <w:pPr>
        <w:pStyle w:val="a7"/>
        <w:rPr>
          <w:rFonts w:ascii="Times New Roman" w:hAnsi="Times New Roman" w:cs="Times New Roman"/>
          <w:b/>
        </w:rPr>
      </w:pPr>
    </w:p>
    <w:p w:rsidR="007F5327" w:rsidRPr="00306B35" w:rsidRDefault="007F5327" w:rsidP="007F5327">
      <w:pPr>
        <w:pStyle w:val="a7"/>
        <w:rPr>
          <w:rFonts w:ascii="Times New Roman" w:hAnsi="Times New Roman" w:cs="Times New Roman"/>
          <w:b/>
        </w:rPr>
      </w:pPr>
      <w:r w:rsidRPr="00306B35">
        <w:rPr>
          <w:rFonts w:ascii="Times New Roman" w:hAnsi="Times New Roman" w:cs="Times New Roman"/>
          <w:b/>
        </w:rPr>
        <w:t xml:space="preserve">"О порядке </w:t>
      </w:r>
      <w:proofErr w:type="gramStart"/>
      <w:r w:rsidRPr="00306B35">
        <w:rPr>
          <w:rFonts w:ascii="Times New Roman" w:hAnsi="Times New Roman" w:cs="Times New Roman"/>
          <w:b/>
        </w:rPr>
        <w:t>использования средств фондов персональной ответственности туроператоров</w:t>
      </w:r>
      <w:proofErr w:type="gramEnd"/>
      <w:r w:rsidRPr="00306B35">
        <w:rPr>
          <w:rFonts w:ascii="Times New Roman" w:hAnsi="Times New Roman" w:cs="Times New Roman"/>
          <w:b/>
        </w:rPr>
        <w:t xml:space="preserve"> для выплат туристам" </w:t>
      </w:r>
    </w:p>
    <w:p w:rsidR="007F5327" w:rsidRPr="00306B35" w:rsidRDefault="007F5327" w:rsidP="007F5327">
      <w:pPr>
        <w:pStyle w:val="a7"/>
        <w:rPr>
          <w:rFonts w:ascii="Times New Roman" w:hAnsi="Times New Roman" w:cs="Times New Roman"/>
          <w:b/>
        </w:rPr>
      </w:pPr>
    </w:p>
    <w:p w:rsidR="007F5327" w:rsidRPr="006B7932" w:rsidRDefault="007F5327" w:rsidP="007F5327">
      <w:pPr>
        <w:pStyle w:val="a5"/>
        <w:rPr>
          <w:b/>
          <w:bCs/>
          <w:i/>
        </w:rPr>
      </w:pPr>
      <w:hyperlink r:id="rId5" w:history="1">
        <w:r w:rsidRPr="00D06597">
          <w:rPr>
            <w:rStyle w:val="a6"/>
            <w:b/>
            <w:bCs/>
            <w:i/>
          </w:rPr>
          <w:t xml:space="preserve">Скачать_ ДОКУМЕНТ в </w:t>
        </w:r>
        <w:proofErr w:type="spellStart"/>
        <w:r w:rsidRPr="00D06597">
          <w:rPr>
            <w:rStyle w:val="a6"/>
            <w:b/>
            <w:bCs/>
            <w:i/>
          </w:rPr>
          <w:t>Word</w:t>
        </w:r>
        <w:proofErr w:type="spellEnd"/>
      </w:hyperlink>
    </w:p>
    <w:p w:rsidR="008716EE" w:rsidRPr="008716EE" w:rsidRDefault="008716EE">
      <w:pPr>
        <w:pStyle w:val="ConsPlusTitle"/>
        <w:jc w:val="center"/>
      </w:pPr>
      <w:r w:rsidRPr="008716EE">
        <w:t>МИНИСТЕРСТВО ЭКОНОМИЧЕСКОГО РАЗВИТИЯ РОССИЙСКОЙ ФЕДЕРАЦИИ</w:t>
      </w:r>
    </w:p>
    <w:p w:rsidR="008716EE" w:rsidRPr="008716EE" w:rsidRDefault="008716EE">
      <w:pPr>
        <w:pStyle w:val="ConsPlusTitle"/>
        <w:jc w:val="center"/>
      </w:pPr>
    </w:p>
    <w:p w:rsidR="008716EE" w:rsidRPr="008716EE" w:rsidRDefault="008716EE">
      <w:pPr>
        <w:pStyle w:val="ConsPlusTitle"/>
        <w:jc w:val="center"/>
      </w:pPr>
      <w:r w:rsidRPr="008716EE">
        <w:t>ПИСЬМО</w:t>
      </w:r>
    </w:p>
    <w:p w:rsidR="008716EE" w:rsidRPr="008716EE" w:rsidRDefault="008716EE">
      <w:pPr>
        <w:pStyle w:val="ConsPlusTitle"/>
        <w:jc w:val="center"/>
      </w:pPr>
      <w:r w:rsidRPr="008716EE">
        <w:t>от 17 апреля 2026 г. N Д08и-12282</w:t>
      </w:r>
    </w:p>
    <w:p w:rsidR="008716EE" w:rsidRPr="008716EE" w:rsidRDefault="008716EE">
      <w:pPr>
        <w:pStyle w:val="ConsPlusTitle"/>
        <w:jc w:val="center"/>
      </w:pPr>
    </w:p>
    <w:p w:rsidR="008716EE" w:rsidRPr="008716EE" w:rsidRDefault="008716EE">
      <w:pPr>
        <w:pStyle w:val="ConsPlusTitle"/>
        <w:jc w:val="center"/>
      </w:pPr>
      <w:r w:rsidRPr="008716EE">
        <w:t>О ПОРЯДКЕ</w:t>
      </w:r>
    </w:p>
    <w:p w:rsidR="008716EE" w:rsidRPr="008716EE" w:rsidRDefault="008716EE">
      <w:pPr>
        <w:pStyle w:val="ConsPlusTitle"/>
        <w:jc w:val="center"/>
      </w:pPr>
      <w:r w:rsidRPr="008716EE">
        <w:t>ИСПОЛЬЗОВАНИЯ СРЕДСТВ ФОНДОВ ПЕРСОНАЛЬНОЙ ОТВЕТСТВЕННОСТИ</w:t>
      </w:r>
    </w:p>
    <w:p w:rsidR="008716EE" w:rsidRPr="008716EE" w:rsidRDefault="008716EE">
      <w:pPr>
        <w:pStyle w:val="ConsPlusTitle"/>
        <w:jc w:val="center"/>
      </w:pPr>
      <w:r w:rsidRPr="008716EE">
        <w:t>ТУРОПЕРАТОРОВ ДЛЯ ВЫПЛАТ ТУРИСТАМ</w:t>
      </w:r>
    </w:p>
    <w:p w:rsidR="008716EE" w:rsidRPr="008716EE" w:rsidRDefault="008716EE">
      <w:pPr>
        <w:pStyle w:val="ConsPlusNormal"/>
        <w:jc w:val="both"/>
      </w:pPr>
    </w:p>
    <w:p w:rsidR="008716EE" w:rsidRPr="008716EE" w:rsidRDefault="008716EE">
      <w:pPr>
        <w:pStyle w:val="ConsPlusNormal"/>
        <w:ind w:firstLine="540"/>
        <w:jc w:val="both"/>
      </w:pPr>
      <w:proofErr w:type="gramStart"/>
      <w:r w:rsidRPr="008716EE">
        <w:t xml:space="preserve">Департамент реализации проектов в сфере туристской деятельности Минэкономразвития России в связи с принятием Правительством Российской Федерации </w:t>
      </w:r>
      <w:hyperlink r:id="rId6">
        <w:r w:rsidRPr="008716EE">
          <w:t>распоряжения</w:t>
        </w:r>
      </w:hyperlink>
      <w:r w:rsidRPr="008716EE">
        <w:t xml:space="preserve"> от 10 марта 2026 г. N 458-р (далее - Распоряжение N 458-р) информирует о порядке использования средств фондов персональной ответственности туроператоров (далее - ФПО) для возврата денежных средств туристам за туристские продукты в страны, в отношении которых Минэкономразвития России опубликованы сообщения (рекомендации) об угрозе безопасности</w:t>
      </w:r>
      <w:proofErr w:type="gramEnd"/>
      <w:r w:rsidRPr="008716EE">
        <w:t xml:space="preserve"> туристов.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proofErr w:type="gramStart"/>
      <w:r w:rsidRPr="008716EE">
        <w:t xml:space="preserve">В соответствии со </w:t>
      </w:r>
      <w:hyperlink r:id="rId7">
        <w:r w:rsidRPr="008716EE">
          <w:t>статьей 14</w:t>
        </w:r>
      </w:hyperlink>
      <w:r w:rsidRPr="008716EE">
        <w:t xml:space="preserve"> Федерального закона от 24 ноября 1996 г. N 132-ФЗ "Об основах туристской деятельности в Российской Федерации" (далее - Закон N 132-ФЗ) при наличии угрозы безопасности туристов в стране временного пребывания (при опубликовании соответствующих рекомендаций федеральных органов государственной власти) туроператор обязан вернуть уплаченные туристом денежные средства за </w:t>
      </w:r>
      <w:proofErr w:type="spellStart"/>
      <w:r w:rsidRPr="008716EE">
        <w:t>неоказанные</w:t>
      </w:r>
      <w:proofErr w:type="spellEnd"/>
      <w:r w:rsidRPr="008716EE">
        <w:t xml:space="preserve"> услуги.</w:t>
      </w:r>
      <w:proofErr w:type="gramEnd"/>
      <w:r w:rsidRPr="008716EE">
        <w:t xml:space="preserve"> Данное право распространяется на всех туристов вне зависимости от даты начала путешествия. При расторжении договора до начала путешествия возвращается сумма, равная общей цене туристского продукта, после начала путешествия - часть, пропорциональная стоимости </w:t>
      </w:r>
      <w:proofErr w:type="spellStart"/>
      <w:r w:rsidRPr="008716EE">
        <w:t>неоказанных</w:t>
      </w:r>
      <w:proofErr w:type="spellEnd"/>
      <w:r w:rsidRPr="008716EE">
        <w:t xml:space="preserve"> услуг.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 xml:space="preserve">Вместе с тем </w:t>
      </w:r>
      <w:hyperlink r:id="rId8">
        <w:r w:rsidRPr="008716EE">
          <w:t>статья 11.8</w:t>
        </w:r>
      </w:hyperlink>
      <w:r w:rsidRPr="008716EE">
        <w:t xml:space="preserve"> Закона N 132-ФЗ устанавливает специальный механизм реализации этой обязанности: если Правительство Российской Федерации принимает специальное распоряжение (как </w:t>
      </w:r>
      <w:hyperlink r:id="rId9">
        <w:r w:rsidRPr="008716EE">
          <w:t>Распоряжение</w:t>
        </w:r>
      </w:hyperlink>
      <w:r w:rsidRPr="008716EE">
        <w:t xml:space="preserve"> N 458-р), возврат производится не за счет средств туроператора, находящихся на его расчетных счетах, а из средств ФПО такого туроператора.</w:t>
      </w:r>
    </w:p>
    <w:p w:rsidR="008716EE" w:rsidRPr="008716EE" w:rsidRDefault="007F5327">
      <w:pPr>
        <w:pStyle w:val="ConsPlusNormal"/>
        <w:spacing w:before="220"/>
        <w:ind w:firstLine="540"/>
        <w:jc w:val="both"/>
      </w:pPr>
      <w:hyperlink r:id="rId10">
        <w:r w:rsidR="008716EE" w:rsidRPr="008716EE">
          <w:t>Распоряжением</w:t>
        </w:r>
      </w:hyperlink>
      <w:r w:rsidR="008716EE" w:rsidRPr="008716EE">
        <w:t xml:space="preserve"> N 458-р туроператорам, осуществляющим деятельность в сфере выездного туризма, предоставлена возможность использовать средства ФПО для возврата денежных средств туристам и (или) иным заказчикам за туристские продукты в страны, в отношении которых Минэкономразвития России опубликованы соответствующие сообщения об угрозе безопасности. Перечень таких стран 3 марта 2026 г. размещен на официальном сайте Минэкономразвития России, к ним относятся: Объединенные Арабские </w:t>
      </w:r>
      <w:r w:rsidR="008716EE" w:rsidRPr="008716EE">
        <w:lastRenderedPageBreak/>
        <w:t>Эмираты, Саудовская Аравия, Оман, Катар, Бахрейн, Кувейт, Иран и Израиль. Дата начала путешествия по таким туристским продуктам должна приходиться на период с 28 февраля по 31 марта 2026 г.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 xml:space="preserve">Постановлением Правительства Российской Федерации от 8 апреля 2020 г. N 461 утверждены </w:t>
      </w:r>
      <w:hyperlink r:id="rId11">
        <w:r w:rsidRPr="008716EE">
          <w:t>Правила</w:t>
        </w:r>
      </w:hyperlink>
      <w:r w:rsidRPr="008716EE">
        <w:t xml:space="preserve"> возврата туристам и (или) иным заказчикам уплаченных ими за туристский продукт денежных сумм из денежных средств ФПО (далее - Правила возврата).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>Решение об использовании средств ФПО принимает сам туроператор путем направления уведомления в объединение туроператоров в сфере выездного туризма (далее - Ассоциация "</w:t>
      </w:r>
      <w:proofErr w:type="spellStart"/>
      <w:r w:rsidRPr="008716EE">
        <w:t>Турпомощь</w:t>
      </w:r>
      <w:proofErr w:type="spellEnd"/>
      <w:r w:rsidRPr="008716EE">
        <w:t xml:space="preserve">"). </w:t>
      </w:r>
      <w:proofErr w:type="gramStart"/>
      <w:r w:rsidRPr="008716EE">
        <w:t xml:space="preserve">В соответствии с </w:t>
      </w:r>
      <w:hyperlink r:id="rId12">
        <w:r w:rsidRPr="008716EE">
          <w:t>частью первой статьи 11.8</w:t>
        </w:r>
      </w:hyperlink>
      <w:r w:rsidRPr="008716EE">
        <w:t xml:space="preserve"> Закона N 132-ФЗ возврат туристам и (или) иным заказчикам уплаченных ими за туристский продукт денежных сумм из средств ФПО осуществляется на основании уведомления туроператора, представленного в Ассоциацию "</w:t>
      </w:r>
      <w:proofErr w:type="spellStart"/>
      <w:r w:rsidRPr="008716EE">
        <w:t>Турпомощь</w:t>
      </w:r>
      <w:proofErr w:type="spellEnd"/>
      <w:r w:rsidRPr="008716EE">
        <w:t>" не позднее 15 апреля 2026 г. Обратиться в Ассоциацию "</w:t>
      </w:r>
      <w:proofErr w:type="spellStart"/>
      <w:r w:rsidRPr="008716EE">
        <w:t>Турпомощь</w:t>
      </w:r>
      <w:proofErr w:type="spellEnd"/>
      <w:r w:rsidRPr="008716EE">
        <w:t>" могут туроператоры, принявшие решение об использовании средств ФПО и направившие уведомление в установленный срок.</w:t>
      </w:r>
      <w:proofErr w:type="gramEnd"/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 xml:space="preserve">В соответствии с </w:t>
      </w:r>
      <w:hyperlink r:id="rId13">
        <w:r w:rsidRPr="008716EE">
          <w:t>пунктом 3</w:t>
        </w:r>
      </w:hyperlink>
      <w:r w:rsidRPr="008716EE">
        <w:t xml:space="preserve"> Правил возврата для возврата денежных средств из ФПО туристу или иному заказчику необходимо в течение шести месяцев </w:t>
      </w:r>
      <w:proofErr w:type="gramStart"/>
      <w:r w:rsidRPr="008716EE">
        <w:t>с даты направления</w:t>
      </w:r>
      <w:proofErr w:type="gramEnd"/>
      <w:r w:rsidRPr="008716EE">
        <w:t xml:space="preserve"> туроператором уведомления в Ассоциацию "</w:t>
      </w:r>
      <w:proofErr w:type="spellStart"/>
      <w:r w:rsidRPr="008716EE">
        <w:t>Турпомощь</w:t>
      </w:r>
      <w:proofErr w:type="spellEnd"/>
      <w:r w:rsidRPr="008716EE">
        <w:t xml:space="preserve">" направить туроператору требование о возврате, а также документы, предусмотренные </w:t>
      </w:r>
      <w:hyperlink r:id="rId14">
        <w:r w:rsidRPr="008716EE">
          <w:t>Правилами</w:t>
        </w:r>
      </w:hyperlink>
      <w:r w:rsidRPr="008716EE">
        <w:t xml:space="preserve"> возврата. Форма требования размещена на сайте Ассоциации "</w:t>
      </w:r>
      <w:proofErr w:type="spellStart"/>
      <w:r w:rsidRPr="008716EE">
        <w:t>Турпомощь</w:t>
      </w:r>
      <w:proofErr w:type="spellEnd"/>
      <w:r w:rsidRPr="008716EE">
        <w:t>" (https://www.tourpom.ru). Информация о сроках и порядке подачи требования о возврате денежных средств размещается на сайте соответствующего туроператора.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 xml:space="preserve">В соответствии с </w:t>
      </w:r>
      <w:hyperlink r:id="rId15">
        <w:r w:rsidRPr="008716EE">
          <w:t>пунктом 5</w:t>
        </w:r>
      </w:hyperlink>
      <w:r w:rsidRPr="008716EE">
        <w:t xml:space="preserve"> Правил возврата выплаты туристам производятся Ассоциацией "</w:t>
      </w:r>
      <w:proofErr w:type="spellStart"/>
      <w:r w:rsidRPr="008716EE">
        <w:t>Турпомощь</w:t>
      </w:r>
      <w:proofErr w:type="spellEnd"/>
      <w:r w:rsidRPr="008716EE">
        <w:t>" в течение 60 рабочих дней после представления туроператором в Ассоциацию "</w:t>
      </w:r>
      <w:proofErr w:type="spellStart"/>
      <w:r w:rsidRPr="008716EE">
        <w:t>Турпомощь</w:t>
      </w:r>
      <w:proofErr w:type="spellEnd"/>
      <w:r w:rsidRPr="008716EE">
        <w:t xml:space="preserve">" реестра требований туристов и документов, установленных </w:t>
      </w:r>
      <w:hyperlink r:id="rId16">
        <w:r w:rsidRPr="008716EE">
          <w:t>Правилами</w:t>
        </w:r>
      </w:hyperlink>
      <w:r w:rsidRPr="008716EE">
        <w:t xml:space="preserve"> возврата. Туроператор направляет указанные документы по истечении шестимесячного срока предъявления туристами требований. Общий объем денежных средств, указанных в требованиях о возврате, включенных в реестр требований, не должен превышать фактический размер ФПО туроператора.</w:t>
      </w:r>
    </w:p>
    <w:p w:rsidR="008716EE" w:rsidRPr="008716EE" w:rsidRDefault="007F5327">
      <w:pPr>
        <w:pStyle w:val="ConsPlusNormal"/>
        <w:spacing w:before="220"/>
        <w:ind w:firstLine="540"/>
        <w:jc w:val="both"/>
      </w:pPr>
      <w:hyperlink r:id="rId17">
        <w:r w:rsidR="008716EE" w:rsidRPr="008716EE">
          <w:t>Правилами</w:t>
        </w:r>
      </w:hyperlink>
      <w:r w:rsidR="008716EE" w:rsidRPr="008716EE">
        <w:t xml:space="preserve"> возврата предусмотрены следующие основания для отказа в выплате: непредставление (или представление не в полном объеме) туроператором в Ассоциацию "</w:t>
      </w:r>
      <w:proofErr w:type="spellStart"/>
      <w:r w:rsidR="008716EE" w:rsidRPr="008716EE">
        <w:t>Турпомощь</w:t>
      </w:r>
      <w:proofErr w:type="spellEnd"/>
      <w:r w:rsidR="008716EE" w:rsidRPr="008716EE">
        <w:t xml:space="preserve">" документов, предусмотренных </w:t>
      </w:r>
      <w:hyperlink r:id="rId18">
        <w:r w:rsidR="008716EE" w:rsidRPr="008716EE">
          <w:t>Правилами</w:t>
        </w:r>
      </w:hyperlink>
      <w:r w:rsidR="008716EE" w:rsidRPr="008716EE">
        <w:t xml:space="preserve"> возврата; наличие в документах неполных или недостоверных сведений; несоответствие требования о возврате условиям, определенным </w:t>
      </w:r>
      <w:hyperlink r:id="rId19">
        <w:r w:rsidR="008716EE" w:rsidRPr="008716EE">
          <w:t>Правилами</w:t>
        </w:r>
      </w:hyperlink>
      <w:r w:rsidR="008716EE" w:rsidRPr="008716EE">
        <w:t xml:space="preserve"> возврата.</w:t>
      </w:r>
    </w:p>
    <w:p w:rsidR="008716EE" w:rsidRPr="008716EE" w:rsidRDefault="008716EE">
      <w:pPr>
        <w:pStyle w:val="ConsPlusNormal"/>
        <w:spacing w:before="220"/>
        <w:ind w:firstLine="540"/>
        <w:jc w:val="both"/>
      </w:pPr>
      <w:proofErr w:type="gramStart"/>
      <w:r w:rsidRPr="008716EE">
        <w:t xml:space="preserve">Обращаем внимание, что при реализации механизма возврата денежных средств туристам и (или) иным заказчикам за счет средств ФПО (на основании </w:t>
      </w:r>
      <w:hyperlink r:id="rId20">
        <w:r w:rsidRPr="008716EE">
          <w:t>статьи 11.8</w:t>
        </w:r>
      </w:hyperlink>
      <w:r w:rsidRPr="008716EE">
        <w:t xml:space="preserve"> Закона N 132-ФЗ и в порядке, установленном </w:t>
      </w:r>
      <w:hyperlink r:id="rId21">
        <w:r w:rsidRPr="008716EE">
          <w:t>Правилами</w:t>
        </w:r>
      </w:hyperlink>
      <w:r w:rsidRPr="008716EE">
        <w:t xml:space="preserve"> возврата) туроператор освобождается от обязанности осуществлять возврат уплаченных денежных средств в индивидуальном порядке за счет средств, находящихся на его расчетных счетах.</w:t>
      </w:r>
      <w:proofErr w:type="gramEnd"/>
    </w:p>
    <w:p w:rsidR="008716EE" w:rsidRPr="008716EE" w:rsidRDefault="008716EE">
      <w:pPr>
        <w:pStyle w:val="ConsPlusNormal"/>
        <w:spacing w:before="220"/>
        <w:ind w:firstLine="540"/>
        <w:jc w:val="both"/>
      </w:pPr>
      <w:r w:rsidRPr="008716EE">
        <w:t>Просим довести до туроператоров - членов отраслевых объединений в сфере туризма указанную информацию для использования в работе.</w:t>
      </w:r>
    </w:p>
    <w:p w:rsidR="008716EE" w:rsidRPr="008716EE" w:rsidRDefault="008716EE">
      <w:pPr>
        <w:pStyle w:val="ConsPlusNormal"/>
        <w:jc w:val="both"/>
      </w:pPr>
    </w:p>
    <w:p w:rsidR="008716EE" w:rsidRPr="008716EE" w:rsidRDefault="008716EE">
      <w:pPr>
        <w:pStyle w:val="ConsPlusNormal"/>
        <w:jc w:val="right"/>
      </w:pPr>
      <w:r w:rsidRPr="008716EE">
        <w:t>Директор Департамента</w:t>
      </w:r>
    </w:p>
    <w:p w:rsidR="008716EE" w:rsidRPr="008716EE" w:rsidRDefault="008716EE">
      <w:pPr>
        <w:pStyle w:val="ConsPlusNormal"/>
        <w:jc w:val="right"/>
      </w:pPr>
      <w:r w:rsidRPr="008716EE">
        <w:t>реализации проектов в сфере</w:t>
      </w:r>
    </w:p>
    <w:p w:rsidR="008716EE" w:rsidRPr="008716EE" w:rsidRDefault="008716EE">
      <w:pPr>
        <w:pStyle w:val="ConsPlusNormal"/>
        <w:jc w:val="right"/>
      </w:pPr>
      <w:r w:rsidRPr="008716EE">
        <w:t>туристской деятельности</w:t>
      </w:r>
    </w:p>
    <w:p w:rsidR="008716EE" w:rsidRPr="008716EE" w:rsidRDefault="008716EE">
      <w:pPr>
        <w:pStyle w:val="ConsPlusNormal"/>
        <w:jc w:val="right"/>
      </w:pPr>
      <w:r w:rsidRPr="008716EE">
        <w:t>Г.Р.ГРУША</w:t>
      </w:r>
    </w:p>
    <w:bookmarkEnd w:id="0"/>
    <w:p w:rsidR="008716EE" w:rsidRPr="008716EE" w:rsidRDefault="008716EE">
      <w:pPr>
        <w:pStyle w:val="ConsPlusNormal"/>
        <w:jc w:val="both"/>
      </w:pPr>
    </w:p>
    <w:sectPr w:rsidR="008716EE" w:rsidRPr="008716EE" w:rsidSect="00B2235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E"/>
    <w:rsid w:val="001A78C3"/>
    <w:rsid w:val="002426F7"/>
    <w:rsid w:val="002D7D9A"/>
    <w:rsid w:val="00454620"/>
    <w:rsid w:val="00712DB5"/>
    <w:rsid w:val="007D328D"/>
    <w:rsid w:val="007F5327"/>
    <w:rsid w:val="00847224"/>
    <w:rsid w:val="008716EE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27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71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6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F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327"/>
    <w:rPr>
      <w:color w:val="0000FF" w:themeColor="hyperlink"/>
      <w:u w:val="single"/>
    </w:rPr>
  </w:style>
  <w:style w:type="paragraph" w:styleId="a7">
    <w:name w:val="No Spacing"/>
    <w:uiPriority w:val="1"/>
    <w:qFormat/>
    <w:rsid w:val="007F53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27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71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1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16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F5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327"/>
    <w:rPr>
      <w:color w:val="0000FF" w:themeColor="hyperlink"/>
      <w:u w:val="single"/>
    </w:rPr>
  </w:style>
  <w:style w:type="paragraph" w:styleId="a7">
    <w:name w:val="No Spacing"/>
    <w:uiPriority w:val="1"/>
    <w:qFormat/>
    <w:rsid w:val="007F5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1&amp;dst=100229" TargetMode="External"/><Relationship Id="rId13" Type="http://schemas.openxmlformats.org/officeDocument/2006/relationships/hyperlink" Target="https://login.consultant.ru/link/?req=doc&amp;base=LAW&amp;n=460636&amp;dst=9" TargetMode="External"/><Relationship Id="rId18" Type="http://schemas.openxmlformats.org/officeDocument/2006/relationships/hyperlink" Target="https://login.consultant.ru/link/?req=doc&amp;base=LAW&amp;n=460636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0636&amp;dst=100008" TargetMode="External"/><Relationship Id="rId7" Type="http://schemas.openxmlformats.org/officeDocument/2006/relationships/hyperlink" Target="https://login.consultant.ru/link/?req=doc&amp;base=LAW&amp;n=511671&amp;dst=131" TargetMode="External"/><Relationship Id="rId12" Type="http://schemas.openxmlformats.org/officeDocument/2006/relationships/hyperlink" Target="https://login.consultant.ru/link/?req=doc&amp;base=LAW&amp;n=511671&amp;dst=100230" TargetMode="External"/><Relationship Id="rId17" Type="http://schemas.openxmlformats.org/officeDocument/2006/relationships/hyperlink" Target="https://login.consultant.ru/link/?req=doc&amp;base=LAW&amp;n=460636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0636&amp;dst=100008" TargetMode="External"/><Relationship Id="rId20" Type="http://schemas.openxmlformats.org/officeDocument/2006/relationships/hyperlink" Target="https://login.consultant.ru/link/?req=doc&amp;base=LAW&amp;n=511671&amp;dst=1002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559" TargetMode="External"/><Relationship Id="rId11" Type="http://schemas.openxmlformats.org/officeDocument/2006/relationships/hyperlink" Target="https://login.consultant.ru/link/?req=doc&amp;base=LAW&amp;n=460636&amp;dst=100008" TargetMode="External"/><Relationship Id="rId5" Type="http://schemas.openxmlformats.org/officeDocument/2006/relationships/hyperlink" Target="https://deloprava.ru/wp-content/uploads/2026/05/pismo-minekonomrazvitiya-rossii-ot-17.04.2026-n-d08i-12282.docx" TargetMode="External"/><Relationship Id="rId15" Type="http://schemas.openxmlformats.org/officeDocument/2006/relationships/hyperlink" Target="https://login.consultant.ru/link/?req=doc&amp;base=LAW&amp;n=460636&amp;dst=1000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8559" TargetMode="External"/><Relationship Id="rId19" Type="http://schemas.openxmlformats.org/officeDocument/2006/relationships/hyperlink" Target="https://login.consultant.ru/link/?req=doc&amp;base=LAW&amp;n=460636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559" TargetMode="External"/><Relationship Id="rId14" Type="http://schemas.openxmlformats.org/officeDocument/2006/relationships/hyperlink" Target="https://login.consultant.ru/link/?req=doc&amp;base=LAW&amp;n=460636&amp;dst=100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2026-05-27T07:55:00Z</dcterms:created>
  <dcterms:modified xsi:type="dcterms:W3CDTF">2026-05-27T13:42:00Z</dcterms:modified>
</cp:coreProperties>
</file>