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5F" w:rsidRPr="00834F5F" w:rsidRDefault="00834F5F" w:rsidP="00834F5F">
      <w:pPr>
        <w:pStyle w:val="a6"/>
        <w:spacing w:line="360" w:lineRule="auto"/>
        <w:jc w:val="center"/>
        <w:rPr>
          <w:rFonts w:cstheme="minorHAnsi"/>
          <w:b/>
          <w:lang w:eastAsia="ru-RU"/>
        </w:rPr>
      </w:pPr>
      <w:bookmarkStart w:id="0" w:name="_GoBack"/>
      <w:r w:rsidRPr="00834F5F">
        <w:rPr>
          <w:rFonts w:cstheme="minorHAnsi"/>
          <w:b/>
          <w:lang w:eastAsia="ru-RU"/>
        </w:rPr>
        <w:t>ДЕВЯТНАДЦАТЫЙ АРБИТРАЖНЫЙ АПЕЛЛЯЦИОННЫЙ СУД</w:t>
      </w:r>
    </w:p>
    <w:p w:rsidR="00834F5F" w:rsidRPr="00834F5F" w:rsidRDefault="00834F5F" w:rsidP="00834F5F">
      <w:pPr>
        <w:pStyle w:val="a6"/>
        <w:spacing w:line="360" w:lineRule="auto"/>
        <w:jc w:val="center"/>
        <w:rPr>
          <w:rFonts w:cstheme="minorHAnsi"/>
          <w:b/>
          <w:lang w:eastAsia="ru-RU"/>
        </w:rPr>
      </w:pPr>
      <w:r>
        <w:rPr>
          <w:rFonts w:cstheme="minorHAnsi"/>
          <w:b/>
          <w:lang w:eastAsia="ru-RU"/>
        </w:rPr>
        <w:t xml:space="preserve">ПОСТАНОВЛЕНИЕ </w:t>
      </w:r>
      <w:r w:rsidRPr="00834F5F">
        <w:rPr>
          <w:rFonts w:cstheme="minorHAnsi"/>
          <w:b/>
          <w:lang w:eastAsia="ru-RU"/>
        </w:rPr>
        <w:t>от 30 апреля 2026 г. по делу N А35-7232/2025</w:t>
      </w:r>
    </w:p>
    <w:bookmarkEnd w:id="0"/>
    <w:p w:rsidR="00834F5F" w:rsidRPr="00834F5F" w:rsidRDefault="00834F5F" w:rsidP="00834F5F">
      <w:pPr>
        <w:rPr>
          <w:rFonts w:eastAsia="Times New Roman" w:cstheme="minorHAnsi"/>
          <w:szCs w:val="20"/>
          <w:lang w:eastAsia="ru-RU"/>
        </w:rPr>
      </w:pPr>
    </w:p>
    <w:p w:rsidR="00834F5F" w:rsidRPr="00834F5F" w:rsidRDefault="00834F5F" w:rsidP="00834F5F">
      <w:pPr>
        <w:rPr>
          <w:rFonts w:eastAsia="Times New Roman" w:cstheme="minorHAnsi"/>
          <w:i/>
          <w:szCs w:val="20"/>
          <w:lang w:eastAsia="ru-RU"/>
        </w:rPr>
      </w:pPr>
      <w:r w:rsidRPr="00834F5F">
        <w:rPr>
          <w:rFonts w:eastAsia="Times New Roman" w:cstheme="minorHAnsi"/>
          <w:i/>
          <w:szCs w:val="20"/>
          <w:lang w:eastAsia="ru-RU"/>
        </w:rPr>
        <w:t>Резолютивная часть постановления объявлена 22 апреля 2026 года.</w:t>
      </w:r>
    </w:p>
    <w:p w:rsidR="00834F5F" w:rsidRPr="00834F5F" w:rsidRDefault="00834F5F" w:rsidP="00834F5F">
      <w:pPr>
        <w:rPr>
          <w:rFonts w:eastAsia="Times New Roman" w:cstheme="minorHAnsi"/>
          <w:i/>
          <w:szCs w:val="20"/>
          <w:lang w:eastAsia="ru-RU"/>
        </w:rPr>
      </w:pPr>
      <w:r w:rsidRPr="00834F5F">
        <w:rPr>
          <w:rFonts w:eastAsia="Times New Roman" w:cstheme="minorHAnsi"/>
          <w:i/>
          <w:szCs w:val="20"/>
          <w:lang w:eastAsia="ru-RU"/>
        </w:rPr>
        <w:t>В полном объеме постановление изготовлено 30 апреля 2026 года.</w:t>
      </w:r>
    </w:p>
    <w:p w:rsidR="00834F5F" w:rsidRPr="00834F5F" w:rsidRDefault="00834F5F" w:rsidP="00834F5F">
      <w:pPr>
        <w:rPr>
          <w:rFonts w:eastAsia="Times New Roman" w:cstheme="minorHAnsi"/>
          <w:i/>
          <w:szCs w:val="20"/>
          <w:lang w:eastAsia="ru-RU"/>
        </w:rPr>
      </w:pPr>
      <w:r w:rsidRPr="00834F5F">
        <w:rPr>
          <w:rFonts w:eastAsia="Times New Roman" w:cstheme="minorHAnsi"/>
          <w:i/>
          <w:szCs w:val="20"/>
          <w:lang w:eastAsia="ru-RU"/>
        </w:rPr>
        <w:t>Девятнадцатый арбитражный апелляционный суд в составе:</w:t>
      </w:r>
    </w:p>
    <w:p w:rsidR="00834F5F" w:rsidRPr="00834F5F" w:rsidRDefault="00834F5F" w:rsidP="00834F5F">
      <w:pPr>
        <w:rPr>
          <w:rFonts w:eastAsia="Times New Roman" w:cstheme="minorHAnsi"/>
          <w:i/>
          <w:szCs w:val="20"/>
          <w:lang w:eastAsia="ru-RU"/>
        </w:rPr>
      </w:pPr>
      <w:r w:rsidRPr="00834F5F">
        <w:rPr>
          <w:rFonts w:eastAsia="Times New Roman" w:cstheme="minorHAnsi"/>
          <w:i/>
          <w:szCs w:val="20"/>
          <w:lang w:eastAsia="ru-RU"/>
        </w:rPr>
        <w:t xml:space="preserve">председательствующего судьи </w:t>
      </w:r>
      <w:proofErr w:type="gramStart"/>
      <w:r w:rsidRPr="00834F5F">
        <w:rPr>
          <w:rFonts w:eastAsia="Times New Roman" w:cstheme="minorHAnsi"/>
          <w:i/>
          <w:szCs w:val="20"/>
          <w:lang w:eastAsia="ru-RU"/>
        </w:rPr>
        <w:t>Бугаевой</w:t>
      </w:r>
      <w:proofErr w:type="gramEnd"/>
      <w:r w:rsidRPr="00834F5F">
        <w:rPr>
          <w:rFonts w:eastAsia="Times New Roman" w:cstheme="minorHAnsi"/>
          <w:i/>
          <w:szCs w:val="20"/>
          <w:lang w:eastAsia="ru-RU"/>
        </w:rPr>
        <w:t xml:space="preserve"> О.Ю., судей </w:t>
      </w:r>
      <w:proofErr w:type="spellStart"/>
      <w:r w:rsidRPr="00834F5F">
        <w:rPr>
          <w:rFonts w:eastAsia="Times New Roman" w:cstheme="minorHAnsi"/>
          <w:i/>
          <w:szCs w:val="20"/>
          <w:lang w:eastAsia="ru-RU"/>
        </w:rPr>
        <w:t>Аришонковой</w:t>
      </w:r>
      <w:proofErr w:type="spellEnd"/>
      <w:r w:rsidRPr="00834F5F">
        <w:rPr>
          <w:rFonts w:eastAsia="Times New Roman" w:cstheme="minorHAnsi"/>
          <w:i/>
          <w:szCs w:val="20"/>
          <w:lang w:eastAsia="ru-RU"/>
        </w:rPr>
        <w:t xml:space="preserve"> Е.А., </w:t>
      </w:r>
      <w:proofErr w:type="spellStart"/>
      <w:r w:rsidRPr="00834F5F">
        <w:rPr>
          <w:rFonts w:eastAsia="Times New Roman" w:cstheme="minorHAnsi"/>
          <w:i/>
          <w:szCs w:val="20"/>
          <w:lang w:eastAsia="ru-RU"/>
        </w:rPr>
        <w:t>Пороника</w:t>
      </w:r>
      <w:proofErr w:type="spellEnd"/>
      <w:r w:rsidRPr="00834F5F">
        <w:rPr>
          <w:rFonts w:eastAsia="Times New Roman" w:cstheme="minorHAnsi"/>
          <w:i/>
          <w:szCs w:val="20"/>
          <w:lang w:eastAsia="ru-RU"/>
        </w:rPr>
        <w:t xml:space="preserve"> А.А.,</w:t>
      </w:r>
    </w:p>
    <w:p w:rsidR="00834F5F" w:rsidRPr="00834F5F" w:rsidRDefault="00834F5F" w:rsidP="00834F5F">
      <w:pPr>
        <w:rPr>
          <w:rFonts w:eastAsia="Times New Roman" w:cstheme="minorHAnsi"/>
          <w:i/>
          <w:szCs w:val="20"/>
          <w:lang w:eastAsia="ru-RU"/>
        </w:rPr>
      </w:pPr>
      <w:r w:rsidRPr="00834F5F">
        <w:rPr>
          <w:rFonts w:eastAsia="Times New Roman" w:cstheme="minorHAnsi"/>
          <w:i/>
          <w:szCs w:val="20"/>
          <w:lang w:eastAsia="ru-RU"/>
        </w:rPr>
        <w:t>при ведении протокола судебного заседания секретарем судебного заседания Зверевой М.А.,</w:t>
      </w:r>
    </w:p>
    <w:p w:rsidR="00834F5F" w:rsidRPr="00834F5F" w:rsidRDefault="00834F5F" w:rsidP="00834F5F">
      <w:pPr>
        <w:rPr>
          <w:rFonts w:eastAsia="Times New Roman" w:cstheme="minorHAnsi"/>
          <w:i/>
          <w:szCs w:val="20"/>
          <w:lang w:eastAsia="ru-RU"/>
        </w:rPr>
      </w:pPr>
      <w:r w:rsidRPr="00834F5F">
        <w:rPr>
          <w:rFonts w:eastAsia="Times New Roman" w:cstheme="minorHAnsi"/>
          <w:i/>
          <w:szCs w:val="20"/>
          <w:lang w:eastAsia="ru-RU"/>
        </w:rPr>
        <w:t>при участии в судебном заседании:</w:t>
      </w:r>
    </w:p>
    <w:p w:rsidR="00834F5F" w:rsidRPr="00834F5F" w:rsidRDefault="00834F5F" w:rsidP="00834F5F">
      <w:pPr>
        <w:rPr>
          <w:rFonts w:eastAsia="Times New Roman" w:cstheme="minorHAnsi"/>
          <w:i/>
          <w:szCs w:val="20"/>
          <w:lang w:eastAsia="ru-RU"/>
        </w:rPr>
      </w:pPr>
      <w:r w:rsidRPr="00834F5F">
        <w:rPr>
          <w:rFonts w:eastAsia="Times New Roman" w:cstheme="minorHAnsi"/>
          <w:i/>
          <w:szCs w:val="20"/>
          <w:lang w:eastAsia="ru-RU"/>
        </w:rPr>
        <w:t>от Отделения Фонда пенсионного и социального страхования Российской Федерации по Курской области: Мелиховой О.А., представителя по доверенности N 42 от 02.02.2026, паспорт гражданина РФ, диплом;</w:t>
      </w:r>
    </w:p>
    <w:p w:rsidR="00834F5F" w:rsidRPr="00834F5F" w:rsidRDefault="00834F5F" w:rsidP="00834F5F">
      <w:pPr>
        <w:rPr>
          <w:rFonts w:eastAsia="Times New Roman" w:cstheme="minorHAnsi"/>
          <w:i/>
          <w:szCs w:val="20"/>
          <w:lang w:eastAsia="ru-RU"/>
        </w:rPr>
      </w:pPr>
      <w:r w:rsidRPr="00834F5F">
        <w:rPr>
          <w:rFonts w:eastAsia="Times New Roman" w:cstheme="minorHAnsi"/>
          <w:i/>
          <w:szCs w:val="20"/>
          <w:lang w:eastAsia="ru-RU"/>
        </w:rPr>
        <w:t>от общества с ограниченной ответственностью "Вагоноремонтные решения": Панина А.И., представителя по доверенности N 38 от 09.12.2025, паспорт гражданина РФ, диплом; Безбородых В.Н., представителя по доверенности N 37 от 10.12.2025, паспорт гражданина РФ, диплом;</w:t>
      </w:r>
    </w:p>
    <w:p w:rsidR="00834F5F" w:rsidRPr="00834F5F" w:rsidRDefault="00834F5F" w:rsidP="00834F5F">
      <w:pPr>
        <w:rPr>
          <w:rFonts w:eastAsia="Times New Roman" w:cstheme="minorHAnsi"/>
          <w:i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i/>
          <w:szCs w:val="20"/>
          <w:lang w:eastAsia="ru-RU"/>
        </w:rPr>
        <w:t>рассмотрев в открытом судебном заседании с использованием системы веб-конференции апелляционную жалобу Отделения Фонда пенсионного и социального страхования Российской Федерации по Курской области на решение Арбитражного суда Курской области от 26.01.2026 по делу N А35-7232/2025 по заявлению общества с ограниченной ответственностью "Вагоноремонтные решения" (ОГРН: 1214600010492, ИНН: 4633041763) к Отделению Фонда пенсионного и социального страхования Российской Федерации по Курской области (ОГРН</w:t>
      </w:r>
      <w:proofErr w:type="gramEnd"/>
      <w:r w:rsidRPr="00834F5F">
        <w:rPr>
          <w:rFonts w:eastAsia="Times New Roman" w:cstheme="minorHAnsi"/>
          <w:i/>
          <w:szCs w:val="20"/>
          <w:lang w:eastAsia="ru-RU"/>
        </w:rPr>
        <w:t xml:space="preserve">: </w:t>
      </w:r>
      <w:proofErr w:type="gramStart"/>
      <w:r w:rsidRPr="00834F5F">
        <w:rPr>
          <w:rFonts w:eastAsia="Times New Roman" w:cstheme="minorHAnsi"/>
          <w:i/>
          <w:szCs w:val="20"/>
          <w:lang w:eastAsia="ru-RU"/>
        </w:rPr>
        <w:t>1024600968215, ИНН: 4629026988) о признании незаконным решения о привлечении страхователя к ответственности за совершение правонарушения, выявленного по результатам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</w:t>
      </w:r>
      <w:r w:rsidRPr="00834F5F">
        <w:rPr>
          <w:rFonts w:eastAsia="Times New Roman" w:cstheme="minorHAnsi"/>
          <w:i/>
          <w:szCs w:val="20"/>
          <w:lang w:eastAsia="ru-RU"/>
        </w:rPr>
        <w:t xml:space="preserve"> и профессиональных заболеваний N 46002550000376 от 06.06.2025, установил:</w:t>
      </w:r>
      <w:proofErr w:type="gramEnd"/>
    </w:p>
    <w:p w:rsidR="00834F5F" w:rsidRPr="00834F5F" w:rsidRDefault="00834F5F" w:rsidP="00834F5F">
      <w:pPr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общество с ограниченной ответственностью "Вагоноремонтные решения" (далее - заявитель, ООО "ВРР", Общество, страхователь) обратилось в Арбитражный суд Курской области с заявлением к Отделению Фонда пенсионного и социального страхования Российской Федерации по Курской области (далее - заинтересованное лицо, ОСФР по Курской области, Фонд, страховщик) о признании недействительным решения N 46002550000376 от 06.06.2025 о привлечении страхователя к ответственности за совершение правонарушения, выявленного по результатам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(с учетом уточнения требований в порядке статьи 49 Арбитражного процессуального кодекса Российской Федерации (далее - АПК РФ), принятых судом).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Решением Арбитражного суда Курской области от 26.01.2026 по делу N А35-7232/2025 заявленные требования удовлетворены.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lastRenderedPageBreak/>
        <w:t>Не согласившись с принятым судебным актом, ОСФР по Курской области обратилось в Девятнадцатый арбитражный апелляционный суд с апелляционной жалобой, в которой просит решение суда первой инстанции отменить и принять по делу новый судебный акт.</w:t>
      </w:r>
      <w:proofErr w:type="gramEnd"/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В обоснование требований апелляционной жалобы ОСФР по Курской области ссылается на то, что пунктом 1 статьи 20.2 Федерального закона от 24.07.1998 N 125-ФЗ "Об обязательном социальном страховании от несчастных случаев на производстве и профессиональных заболеваний" (далее - Закон N 125-ФЗ) такой вид материальной помощи как материальная помощь, выплаченная в целях социальной поддержки, не предусмотрен.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Следовательно, указанный вид материальной помощи, как и иные виды материальной помощи, выплаченные по иным основаниям и не поименованные в подпункте 3 пункта 1 статьи 20.2 Закона N 125-ФЗ следует рассматривать в контексте подпункта 12 пункта 1 статьи 20.2 Закона N 125-ФЗ, в 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связи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с чем спорные выплаты на сумму, превышающую 4 000 руб. за расчетный период, подлежат отнесению к доходам, на которые необходимо начислять страховые взносы на обязательное социальное страхование.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В возражениях на апелляционную жалобу ООО "ВРР" ссылается на законность и обоснованность обжалуемого судебного акта, отмечает, что спорная единовременная материальная помощь не связана с производственной деятельностью ООО "ВРР", выплачена в целях социальной поддержки всем работникам в одинаковом размере, носит разовый (единовременный) характер и не зависит от квалификации работников, сложности, качества, количества, условий выполнения самой работы.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Указанная материальная помощь не являлась частью заработной платы сотрудников ООО "ВРР", в 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связи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с чем не является объектом обложения страховыми взносами.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В судебном заседании суда апелляционной инстанции представитель ОСФР по Курской области поддержал доводы апелляционной жалобы, считал обжалуемое решение незаконным и необоснованным, принятым с нарушением норм материального и процессуального права, просил его отменить, принять по делу новый судебный акт.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Представител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и ООО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"ВРР" с доводами апелляционной жалобы не согласились по основаниям, указанным в возражениях, считали обжалуемое решение законным и обоснованным, просили оставить его без изменения, апелляционную жалобу - без удовлетворения.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Изучив материалы дела, обсудив доводы, изложенные в апелляционной жалобе и отзыве на нее, судебная коллегия приходит к выводу об отсутствии оснований для отмены судебного акта.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Как следует из материалов дела и установлено судом первой инстанции, ОСФР по Курской области в отношении ООО "ВРР" была проведена выездная проверка по вопросу правильности исчисления, своевременности и полноты уплаты (перечисления) страховых взносов страхователем, правильности подтверждения страхователем основного вида экономической деятельности за период с 01.01.2022 по 31.12.2024, по результатам которой составлен акт выездной проверки от 13.05.2025 N 4600255000034 (т. 1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л.д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. 18-24).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В ходе проведенной проверки Фондом установлено, что в проверяемом периоде страхователь допустил занижение базы для начисления страховых взносов в Фонд на сумму 1 334 000 руб. в результате исключения сумм единовременной материальной помощи работникам, выплаченной на основании приказа Общества от 05.09.2024 N 202, в целях поддержки работников ООО "ВРР" с местом работы в Курской области Российской Федерации.</w:t>
      </w:r>
      <w:proofErr w:type="gramEnd"/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 xml:space="preserve">06.06.2025 ОСФР по Курской области было принято решение N 46002550000376 о привлечении ООО "ВРР" к ответственности за совершение правонарушения, выявленного по результатам проверки правильности исчисления, полноты и своевременности уплаты (перечисления) страховых взносов на </w:t>
      </w:r>
      <w:r w:rsidRPr="00834F5F">
        <w:rPr>
          <w:rFonts w:eastAsia="Times New Roman" w:cstheme="minorHAnsi"/>
          <w:szCs w:val="20"/>
          <w:lang w:eastAsia="ru-RU"/>
        </w:rPr>
        <w:lastRenderedPageBreak/>
        <w:t>обязательное социальное страхование от несчастных случаев на производстве и профессиональных заболеваний, в соответствии с которым Общество привлечено к ответственности по статье 26.29 Закона N 125-ФЗ в виде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штрафа в размере 10 938,80 руб., а также Обществу предложено уплатить недоимку в размере 54 694 руб., пени в размере 8 417,33 руб., начисленные за период с 01.01.2022 по 31.12.2024 по состоянию на 06.06.2025 (т. 1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л.д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. 13-17).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 xml:space="preserve">ООО "ВРР" выставлено требование от 30.06.2025 N 460025600005401 об уплате недоимки по страховым взносам, пеней и штрафов в общей сумме 74 050,13 руб., в том числе недоимки в размере 54 694 руб., пени в размере 8 417,33 руб., штрафа в размере 10 938,80 руб. в течение 10 календарный дней со дня его получения (т. 1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л.д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. 79-81).</w:t>
      </w:r>
      <w:proofErr w:type="gramEnd"/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 xml:space="preserve">25.07.2025 Фондом принято решение N 460025600005402 о взыскании страховых взносов, пеней и штрафов за счет денежных средств, находящихся на счетах страхователя - юридического лица или индивидуального предпринимателя в банках (иных кредитных организациях) (т. 1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л.д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. 73-74).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 xml:space="preserve">06.08.2025 инкассовыми поручениями NN 395, 396, 397 банком были списаны суммы, указанные в требовании об уплате недоимки 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по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страховым, пеней и штрафов N 460025600005401 в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безакцептном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 xml:space="preserve"> порядке.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ООО "ВРР", полагая, что решение N 46002550000376 от 06.06.2025 является незаконным, обратилось в суд с настоящим заявлением.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Удовлетворяя заявленные требования в полном объеме, суд первой инстанции пришел к выводу об отсутствии правовых оснований для включения спорных выплат в расчетную базу для начисления страховых взносов, а также начисления штрафных санкций и пеней.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Соглашаясь с указанными выводами суда области, апелляционная коллегия руководствуется следующим.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Согласно части 1 статьи 198, части 4 статьи 200, частям 2 и 3 статьи 201 АПК РФ для признания недействительными ненормативных правовых актов, незаконными решений и действий (бездействия) государственных органов и их должностных лиц необходимо наличие в совокупности двух условий: несоответствия оспариваемого ненормативного правового акта, решений и действий (бездействия) закону или иному нормативному правовому акту и нарушение прав и законных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интересов заявителя в сфере предпринимательской и иной экономической деятельности.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Правовые, экономические и организационные основы обязательного социального страхования от несчастных случаев на производстве и профессиональных заболеваний установлены Федеральным законом от 24.07.1998 N 125-ФЗ "Об обязательном социальном страховании от несчастных случаев на производстве и профессиональных заболеваний" (далее - Закон N 125-ФЗ).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В соответствии с пунктами 1, 2 статьи 20.1 Закона N 125-ФЗ объектом обложения страховыми взносами признаются выплаты и иные вознаграждения, начисляемые страхователями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взносы.</w:t>
      </w:r>
      <w:proofErr w:type="gramEnd"/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База для начисления страховых взносов определяется как сумма выплат и иных вознаграждений, предусмотренных пунктом 1 статьи 20.1 указанного Закона, начисленных страхователями в пользу застрахованных, за исключением сумм, указанных в статье 20.2 Закона N 125-ФЗ.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lastRenderedPageBreak/>
        <w:t>В силу условий подпункта 12 пункта 1 статьи 20.2 Закона N 125-ФЗ не подлежат обложению страховыми взносами суммы материальной помощи, оказываемой работодателями своим работникам, не превышающие 4 000 рублей на одного работника за расчетный период.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 xml:space="preserve">Привлекая страхователя к ответственности и доначисляя спорные суммы страховых взносов и пени, Фонд исходил из того, что произведенная выплата единовременной материальной помощи в 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размере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превышающем 4 000 руб. в соответствии с подпунктом 12 пункта 1 статьи 20.2 Закона N 125-ФЗ является объектом обложения страховыми взносами.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 xml:space="preserve">Однако, предлагаемое Фондом толкование положений Закона N 125-ФЗ, позволяющее включать в базу для начисления страховых взносов все 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выплаты работодателя</w:t>
      </w:r>
      <w:proofErr w:type="gramEnd"/>
      <w:r w:rsidRPr="00834F5F">
        <w:rPr>
          <w:rFonts w:eastAsia="Times New Roman" w:cstheme="minorHAnsi"/>
          <w:szCs w:val="20"/>
          <w:lang w:eastAsia="ru-RU"/>
        </w:rPr>
        <w:t>, не включенные в перечень статьи 20.2 Закона N 125-ФЗ, противоречит принципу формальной определенности.</w:t>
      </w:r>
      <w:r w:rsidRPr="00834F5F">
        <w:rPr>
          <w:rFonts w:eastAsia="Times New Roman" w:cstheme="minorHAnsi"/>
          <w:szCs w:val="20"/>
          <w:lang w:eastAsia="ru-RU"/>
        </w:rPr>
        <w:cr/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 xml:space="preserve">В соответствии со статьей 15 Трудового кодекса Российской Федерации (далее - ТК РФ) под трудовыми отношениями понимаются отношения, основанные на соглашении между работниками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конкретного вида поручаемой работнику работы),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  <w:proofErr w:type="gramEnd"/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Статьей 16 ТК РФ определено, что трудовые отношения возникают между работником и работодателем на основании трудового договора, заключаемого ими в соответствии с ТК РФ, а также в результате назначения на должность или утверждения в должности.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В соответствии с положениями статьи 56 ТК РФ трудовой договор - это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Под платой за выполнение работником трудовой функции согласно статье 129 ТК РФ понимается заработная плата, которая представляет собой вознаграждение за труд в зависимости от квалификации работника, сложности, количества, качества и условий выполняемой работы, а также полагающиеся работнику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 xml:space="preserve">Как предусмотрено статьей 135 ТК РФ, заработная плата работнику устанавливается трудовым договором в соответствии с действующими у данного работодателя системами оплаты труда. Кроме того, системы оплаты труда, включая размеры тарифных ставок, окладов, доплат и надбавок компенсационного характера, системы доплат и надбавок стимулирующего характера и системы </w:t>
      </w:r>
      <w:r w:rsidRPr="00834F5F">
        <w:rPr>
          <w:rFonts w:eastAsia="Times New Roman" w:cstheme="minorHAnsi"/>
          <w:szCs w:val="20"/>
          <w:lang w:eastAsia="ru-RU"/>
        </w:rPr>
        <w:lastRenderedPageBreak/>
        <w:t>премирования устанавливаются коллективными договорами, соглашениями, локальными нормативными актами, содержащими нормы трудового права.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Из совокупного анализа положений статей 15, 16, 129 ТК РФ следует, что объектом обложения страховыми взносами признаются выплаты, являющиеся оплатой труда (вознаграждением за труд), то есть выплаты, которые связаны с выполнением работником трудовой функции и зависят от результатов его труда.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Согласно правовой позиции, изложенной в постановлениях Президиума Высшего Арбитражного Суда Российской Федерации от 14.05.2013 N 17744/12, от 03.12.2013 N 10905/13, от 10.12.2013 N 11031/13, в определении Верховного Суда Российской Федерации от 04.09.2017 N 303-КГ17-6952, факт наличия трудовых отношений между работодателем и его работниками не свидетельствует о том, что все выплаты, которые начисляются работникам, представляют собой оплату их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труда.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Выплаты социального характера, основанные на коллективном договоре, не являющиеся стимулирующими, не зависящие от квалификации работников, сложности, качества, количества, условий выполнения самой работы, не являются оплатой труда работников (вознаграждением за труд), в том числе и потому, что не предусмотрены трудовыми договорами.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Таким образом, эти выплаты не являются объектом обложения страховыми взносами и не подлежат включению в базу для начисления страховых взносов.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Как следует из материалов дела, на собрании Трудового коллектив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а ООО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"ВРР" 15.11.2022 принят Коллективный договор ООО "ВРР" на 2022 - 2023 годы, срок действия которого дополнительным соглашением от 29.12.2023 о пролонгации Коллективного договора от 15.11.2022 продлен с 01.01.2024 по 31.12.2025 (т. 1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л.д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. 35-55).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 xml:space="preserve">Согласно разделу 4 "Социальные программы" Коллективного договора от 15.11.2022 дополнительно к установленным законодательством Российской Федерации Общество реализует мероприятия по социальной поддержке, в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т.ч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. устанавливает выплаты, компенсации и льготы, организует мероприятия по профилактике заболеваний, реабилитации, санаторно-курортному лечению и отдыху для Работников и членов их семей, организует спортивные и культурные мероприятия, оказывает ритуальные услуги для Работников и членов их семей в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порядке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и на условиях, установленных локальными нормативными актами Общества, в пределах утвержденного годового бюджета Общества на эти цели.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Пунктом 4.1.3 Коллективного договора от 15.11.2022 предусмотрена выплата материальной помощи работникам, в том числе, находящимся в трудной жизненной ситуации и/или испытывающим существенные материальные затруднения (в связи с необходимостью проведения дорогостоящего лечения, полной или частичной утратой имущества и т.д.).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Приказом ООО УК "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Металлоинвест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" от 04.09.2024 N ПР-173 в связи с возникновением на территориях Белгородской и Курской областей чрезвычайной ситуации, в отношении которой установлен федеральный уровень реагирования, введением правового режима контртеррористической операции, в целях обеспечения социальной поддержки работников обществ Группы "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Металлоинвест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" с местом работы в Белгородской и Курской областях Российской Федерации установлено оказать единовременную материальную помощь работникам ООО УК "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Металлоинвест</w:t>
      </w:r>
      <w:proofErr w:type="spellEnd"/>
      <w:proofErr w:type="gramEnd"/>
      <w:r w:rsidRPr="00834F5F">
        <w:rPr>
          <w:rFonts w:eastAsia="Times New Roman" w:cstheme="minorHAnsi"/>
          <w:szCs w:val="20"/>
          <w:lang w:eastAsia="ru-RU"/>
        </w:rPr>
        <w:t>", а также работникам организаций, с которым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и ООО У</w:t>
      </w:r>
      <w:proofErr w:type="gramEnd"/>
      <w:r w:rsidRPr="00834F5F">
        <w:rPr>
          <w:rFonts w:eastAsia="Times New Roman" w:cstheme="minorHAnsi"/>
          <w:szCs w:val="20"/>
          <w:lang w:eastAsia="ru-RU"/>
        </w:rPr>
        <w:t>К "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Металлоинвест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 xml:space="preserve">" заключило договоры об осуществлении полномочий единоличного исполнительного органа общества: АО "Лебединский </w:t>
      </w:r>
      <w:r w:rsidRPr="00834F5F">
        <w:rPr>
          <w:rFonts w:eastAsia="Times New Roman" w:cstheme="minorHAnsi"/>
          <w:szCs w:val="20"/>
          <w:lang w:eastAsia="ru-RU"/>
        </w:rPr>
        <w:lastRenderedPageBreak/>
        <w:t xml:space="preserve">ГОК", АО "ОЭМК им. А.А.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Угарова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 xml:space="preserve">", АО "Михайловский ГОК им. А.В.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Варичева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", ООО "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УралМетКом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", ООО "МКС".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 xml:space="preserve">В соответствии с пунктом 3 данного приказа управляющему директору АО "Лебединский ГОК" И.Ф.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Искакову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 xml:space="preserve">, управляющему директору АО "ОЭМК им. А.А.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Угарова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 xml:space="preserve">" К.А. Чернову, управляющему директору АО "Михайловский ГОК им. А.В.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Варичева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" А.Г. Захарову, управляющему директору ООО "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УралМетКом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 xml:space="preserve">" А.В.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Птащенко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, главному бухгалтеру - управляющему директору ООО "МКС" Е.А. Шаховой указано обеспечить выполнение настоящего приказа в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соответствующих управляемых 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обществах</w:t>
      </w:r>
      <w:proofErr w:type="gramEnd"/>
      <w:r w:rsidRPr="00834F5F">
        <w:rPr>
          <w:rFonts w:eastAsia="Times New Roman" w:cstheme="minorHAnsi"/>
          <w:szCs w:val="20"/>
          <w:lang w:eastAsia="ru-RU"/>
        </w:rPr>
        <w:t>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 xml:space="preserve">Согласно сведениям Единого государственного реестра юридических лиц по состоянию на 04.09.2025 участниками (учредителями) ООО "ВРР" являлись АО "Михайловский ГОК им. А.В.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Варичева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 xml:space="preserve">" с долей участия 99%, АО "Лебединский ГОК" с долей участия 1% (т. 1 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л.д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. 91-99).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Таким образом, ООО "ВРР" входит в Группу "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Металлоинвест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>".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05.09.2024 ООО "ВРР" принят приказ N 202 о выплате единовременной материальной помощи работникам Общества в размере 50 000 руб. в целях обеспечения социальной поддержки работников ООО "ВРР" с местом работы в Курской области Российской Федерации. Общая сумма выплаченной единовременной материальной помощи составила 1 450 000 руб. (29 работников).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 xml:space="preserve">Данные выплаты </w:t>
      </w:r>
      <w:proofErr w:type="gramStart"/>
      <w:r w:rsidRPr="00834F5F">
        <w:rPr>
          <w:rFonts w:eastAsia="Times New Roman" w:cstheme="minorHAnsi"/>
          <w:szCs w:val="20"/>
          <w:lang w:eastAsia="ru-RU"/>
        </w:rPr>
        <w:t>произведена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по инициативе Общества, в отношении всех работников Общества. Такая оплата является социальной поддержкой, оказываемой ООО "ВРР" работникам на основании Коллективного договора от 15.11.2022, носит социальный характер.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Из представленных в материалы дела доказательств следует, что данные выплаты не зависят от квалификации работников, сложности, качества и количества выполняемой ими работы, не исчисляются исходя из установленных окладов, тарифных ставок, надбавок, трудового стажа и иных критериев, характеризующих трудовую деятельность.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Они не предусмотрены трудовыми договорами, не связаны с исполнением работниками трудовых обязанностей и не являются элементом системы оплаты труда, установленной у работодателя.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proofErr w:type="gramStart"/>
      <w:r w:rsidRPr="00834F5F">
        <w:rPr>
          <w:rFonts w:eastAsia="Times New Roman" w:cstheme="minorHAnsi"/>
          <w:szCs w:val="20"/>
          <w:lang w:eastAsia="ru-RU"/>
        </w:rPr>
        <w:t>Таким образом, перечисленные выплаты предусмотрены Коллективным договором, не имеют отношения к трудовым взаимоотношениям между работником и работодателем и отвечают признаку однократности (</w:t>
      </w:r>
      <w:proofErr w:type="spellStart"/>
      <w:r w:rsidRPr="00834F5F">
        <w:rPr>
          <w:rFonts w:eastAsia="Times New Roman" w:cstheme="minorHAnsi"/>
          <w:szCs w:val="20"/>
          <w:lang w:eastAsia="ru-RU"/>
        </w:rPr>
        <w:t>неповторяемости</w:t>
      </w:r>
      <w:proofErr w:type="spellEnd"/>
      <w:r w:rsidRPr="00834F5F">
        <w:rPr>
          <w:rFonts w:eastAsia="Times New Roman" w:cstheme="minorHAnsi"/>
          <w:szCs w:val="20"/>
          <w:lang w:eastAsia="ru-RU"/>
        </w:rPr>
        <w:t xml:space="preserve"> во времени), не гарантированы трудовым договором, не носят систематический характер, не зависят от трудовых успехов работников и не являются вознаграждением работника за исполнение им трудовых обязанностей, согласно положениям статей 15, 16, 129, 135, 191 ТК РФ, в связи</w:t>
      </w:r>
      <w:proofErr w:type="gramEnd"/>
      <w:r w:rsidRPr="00834F5F">
        <w:rPr>
          <w:rFonts w:eastAsia="Times New Roman" w:cstheme="minorHAnsi"/>
          <w:szCs w:val="20"/>
          <w:lang w:eastAsia="ru-RU"/>
        </w:rPr>
        <w:t xml:space="preserve"> с чем вывод Фонда о необходимости обложения соответствующих выплат в размере, превышающем 4 000 руб., страховыми взносами является неправомерным.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Само по себе отсутствие в статье 20.2 Закона N 125-ФЗ прямого упоминания о спорных выплатах не имеет самостоятельного правового значения, поскольку их квалификация зависит не от формы или наименования, а от их правовой природы и связи с исполнением работниками трудовых обязанностей.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Виду вышеизложенного, суд первой инстанции пришел к верному выводу об удовлетворении заявленных требований.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Суд апелляционной инстанции не находит оснований для удовлетворения апелляционной жалобы ОСФР по Курской области, доводы которой проверены в полном объеме, но правильных выводов суда первой инстанции не опровергают и не могут быть учтены как не влияющие на законность принятого по делу судебного акта.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lastRenderedPageBreak/>
        <w:t>Несогласие заявителя жалобы с выводами суда первой инстанции не свидетельствует о наличии оснований для отмены принятого по делу решения.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Нарушений норм процессуального права, являющихся согласно части 4 статьи 270 Арбитражного процессуального кодекса Российской Федерации безусловным основанием для отмены судебного акта, судом апелляционной инстанции не установлено.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Таким образом, решение Арбитражного суда Курской области от 26.01.2026 по настоящему делу следует оставить без изменения, а апелляционную жалобу - без удовлетворения.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В соответствии с подпунктом 1.1 пункта 1 статьи 333.37 Налогового кодекса Российской Федерации заявитель жалобы освобожден от уплаты государственной пошлины, в связи с чем, вопрос о распределении судебных расходов судом не рассматривается.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Руководствуясь статьями 269, 271 Арбитражного процессуальног</w:t>
      </w:r>
      <w:r w:rsidRPr="00834F5F">
        <w:rPr>
          <w:rFonts w:eastAsia="Times New Roman" w:cstheme="minorHAnsi"/>
          <w:szCs w:val="20"/>
          <w:lang w:eastAsia="ru-RU"/>
        </w:rPr>
        <w:t>о кодекса Российской Федерации,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постановил: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решение Арбитражного суда Курской области от 26.01.2026 по делу N А35-7232/2025 оставить без изменения, апелляционную жалобу Отделения Фонда пенсионного и социального страхования Российской Федерации по Курской области - без удовлетворения.</w:t>
      </w:r>
    </w:p>
    <w:p w:rsidR="00834F5F" w:rsidRPr="00834F5F" w:rsidRDefault="00834F5F" w:rsidP="00834F5F">
      <w:pPr>
        <w:ind w:firstLine="567"/>
        <w:jc w:val="both"/>
        <w:rPr>
          <w:rFonts w:eastAsia="Times New Roman" w:cstheme="minorHAnsi"/>
          <w:szCs w:val="20"/>
          <w:lang w:eastAsia="ru-RU"/>
        </w:rPr>
      </w:pPr>
      <w:r w:rsidRPr="00834F5F">
        <w:rPr>
          <w:rFonts w:eastAsia="Times New Roman" w:cstheme="minorHAnsi"/>
          <w:szCs w:val="20"/>
          <w:lang w:eastAsia="ru-RU"/>
        </w:rPr>
        <w:t>Постановление вступает в законную силу со дня принятия и может быть обжаловано в кассационном порядке в Арбитражный суд Центрального округа в двухмесячный срок через арбитражный суд первой инстанции.</w:t>
      </w:r>
    </w:p>
    <w:p w:rsidR="00834F5F" w:rsidRPr="00834F5F" w:rsidRDefault="00834F5F" w:rsidP="00834F5F">
      <w:pPr>
        <w:jc w:val="right"/>
        <w:rPr>
          <w:rFonts w:eastAsia="Times New Roman" w:cstheme="minorHAnsi"/>
          <w:b/>
          <w:szCs w:val="20"/>
          <w:lang w:eastAsia="ru-RU"/>
        </w:rPr>
      </w:pPr>
    </w:p>
    <w:p w:rsidR="00834F5F" w:rsidRPr="00834F5F" w:rsidRDefault="00834F5F" w:rsidP="00834F5F">
      <w:pPr>
        <w:jc w:val="right"/>
        <w:rPr>
          <w:rFonts w:eastAsia="Times New Roman" w:cstheme="minorHAnsi"/>
          <w:b/>
          <w:szCs w:val="20"/>
          <w:lang w:eastAsia="ru-RU"/>
        </w:rPr>
      </w:pPr>
      <w:r w:rsidRPr="00834F5F">
        <w:rPr>
          <w:rFonts w:eastAsia="Times New Roman" w:cstheme="minorHAnsi"/>
          <w:b/>
          <w:szCs w:val="20"/>
          <w:lang w:eastAsia="ru-RU"/>
        </w:rPr>
        <w:t>Председательствующий судья</w:t>
      </w:r>
    </w:p>
    <w:p w:rsidR="00834F5F" w:rsidRPr="00834F5F" w:rsidRDefault="00834F5F" w:rsidP="00834F5F">
      <w:pPr>
        <w:jc w:val="right"/>
        <w:rPr>
          <w:rFonts w:eastAsia="Times New Roman" w:cstheme="minorHAnsi"/>
          <w:b/>
          <w:szCs w:val="20"/>
          <w:lang w:eastAsia="ru-RU"/>
        </w:rPr>
      </w:pPr>
      <w:r w:rsidRPr="00834F5F">
        <w:rPr>
          <w:rFonts w:eastAsia="Times New Roman" w:cstheme="minorHAnsi"/>
          <w:b/>
          <w:szCs w:val="20"/>
          <w:lang w:eastAsia="ru-RU"/>
        </w:rPr>
        <w:t>О.Ю.БУГАЕВА</w:t>
      </w:r>
    </w:p>
    <w:p w:rsidR="00834F5F" w:rsidRPr="00834F5F" w:rsidRDefault="00834F5F" w:rsidP="00834F5F">
      <w:pPr>
        <w:jc w:val="right"/>
        <w:rPr>
          <w:rFonts w:eastAsia="Times New Roman" w:cstheme="minorHAnsi"/>
          <w:b/>
          <w:szCs w:val="20"/>
          <w:lang w:eastAsia="ru-RU"/>
        </w:rPr>
      </w:pPr>
    </w:p>
    <w:p w:rsidR="00834F5F" w:rsidRPr="00834F5F" w:rsidRDefault="00834F5F" w:rsidP="00834F5F">
      <w:pPr>
        <w:jc w:val="right"/>
        <w:rPr>
          <w:rFonts w:eastAsia="Times New Roman" w:cstheme="minorHAnsi"/>
          <w:b/>
          <w:szCs w:val="20"/>
          <w:lang w:eastAsia="ru-RU"/>
        </w:rPr>
      </w:pPr>
      <w:r w:rsidRPr="00834F5F">
        <w:rPr>
          <w:rFonts w:eastAsia="Times New Roman" w:cstheme="minorHAnsi"/>
          <w:b/>
          <w:szCs w:val="20"/>
          <w:lang w:eastAsia="ru-RU"/>
        </w:rPr>
        <w:t>Судьи</w:t>
      </w:r>
    </w:p>
    <w:p w:rsidR="00834F5F" w:rsidRPr="00834F5F" w:rsidRDefault="00834F5F" w:rsidP="00834F5F">
      <w:pPr>
        <w:jc w:val="right"/>
        <w:rPr>
          <w:rFonts w:eastAsia="Times New Roman" w:cstheme="minorHAnsi"/>
          <w:b/>
          <w:szCs w:val="20"/>
          <w:lang w:eastAsia="ru-RU"/>
        </w:rPr>
      </w:pPr>
      <w:r w:rsidRPr="00834F5F">
        <w:rPr>
          <w:rFonts w:eastAsia="Times New Roman" w:cstheme="minorHAnsi"/>
          <w:b/>
          <w:szCs w:val="20"/>
          <w:lang w:eastAsia="ru-RU"/>
        </w:rPr>
        <w:t>Е.А.АРИШОНКОВА</w:t>
      </w:r>
    </w:p>
    <w:p w:rsidR="00834F5F" w:rsidRPr="00834F5F" w:rsidRDefault="00834F5F" w:rsidP="00834F5F">
      <w:pPr>
        <w:jc w:val="right"/>
        <w:rPr>
          <w:rFonts w:eastAsia="Times New Roman" w:cstheme="minorHAnsi"/>
          <w:b/>
          <w:szCs w:val="20"/>
          <w:lang w:eastAsia="ru-RU"/>
        </w:rPr>
      </w:pPr>
      <w:r w:rsidRPr="00834F5F">
        <w:rPr>
          <w:rFonts w:eastAsia="Times New Roman" w:cstheme="minorHAnsi"/>
          <w:b/>
          <w:szCs w:val="20"/>
          <w:lang w:eastAsia="ru-RU"/>
        </w:rPr>
        <w:t>А.А.ПОРОНИК</w:t>
      </w:r>
    </w:p>
    <w:p w:rsidR="00834F5F" w:rsidRPr="00834F5F" w:rsidRDefault="00834F5F" w:rsidP="00834F5F">
      <w:pPr>
        <w:rPr>
          <w:rFonts w:eastAsia="Times New Roman" w:cstheme="minorHAnsi"/>
          <w:szCs w:val="20"/>
          <w:lang w:eastAsia="ru-RU"/>
        </w:rPr>
      </w:pPr>
    </w:p>
    <w:p w:rsidR="00834F5F" w:rsidRPr="00834F5F" w:rsidRDefault="00834F5F" w:rsidP="00834F5F">
      <w:pPr>
        <w:rPr>
          <w:rFonts w:eastAsia="Times New Roman" w:cstheme="minorHAnsi"/>
          <w:szCs w:val="20"/>
          <w:lang w:eastAsia="ru-RU"/>
        </w:rPr>
      </w:pPr>
    </w:p>
    <w:p w:rsidR="00834F5F" w:rsidRPr="00834F5F" w:rsidRDefault="00834F5F" w:rsidP="00834F5F">
      <w:pPr>
        <w:rPr>
          <w:rFonts w:eastAsia="Times New Roman" w:cstheme="minorHAnsi"/>
          <w:szCs w:val="20"/>
          <w:lang w:eastAsia="ru-RU"/>
        </w:rPr>
      </w:pPr>
    </w:p>
    <w:p w:rsidR="00F879C5" w:rsidRPr="00834F5F" w:rsidRDefault="00F879C5" w:rsidP="00834F5F">
      <w:pPr>
        <w:rPr>
          <w:rFonts w:cstheme="minorHAnsi"/>
        </w:rPr>
      </w:pPr>
    </w:p>
    <w:sectPr w:rsidR="00F879C5" w:rsidRPr="00834F5F" w:rsidSect="00834F5F">
      <w:pgSz w:w="11906" w:h="16838" w:code="9"/>
      <w:pgMar w:top="1134" w:right="991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F1"/>
    <w:rsid w:val="002426F7"/>
    <w:rsid w:val="002D7D9A"/>
    <w:rsid w:val="00454620"/>
    <w:rsid w:val="00712DB5"/>
    <w:rsid w:val="007D328D"/>
    <w:rsid w:val="00834F5F"/>
    <w:rsid w:val="00847224"/>
    <w:rsid w:val="008F54BB"/>
    <w:rsid w:val="00943A03"/>
    <w:rsid w:val="00D20770"/>
    <w:rsid w:val="00D249F1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D24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4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4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20770"/>
    <w:rPr>
      <w:color w:val="0000FF" w:themeColor="hyperlink"/>
      <w:u w:val="single"/>
    </w:rPr>
  </w:style>
  <w:style w:type="paragraph" w:styleId="a6">
    <w:name w:val="No Spacing"/>
    <w:uiPriority w:val="1"/>
    <w:qFormat/>
    <w:rsid w:val="00834F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D24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4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4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20770"/>
    <w:rPr>
      <w:color w:val="0000FF" w:themeColor="hyperlink"/>
      <w:u w:val="single"/>
    </w:rPr>
  </w:style>
  <w:style w:type="paragraph" w:styleId="a6">
    <w:name w:val="No Spacing"/>
    <w:uiPriority w:val="1"/>
    <w:qFormat/>
    <w:rsid w:val="00834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3</cp:revision>
  <dcterms:created xsi:type="dcterms:W3CDTF">2026-05-21T23:51:00Z</dcterms:created>
  <dcterms:modified xsi:type="dcterms:W3CDTF">2026-05-22T03:17:00Z</dcterms:modified>
</cp:coreProperties>
</file>