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33" w:rsidRPr="00DF4A33" w:rsidRDefault="00DF4A33" w:rsidP="00DF4A3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ТРУДА И СОЦИАЛЬНОЙ ЗАЩИТЫ </w:t>
      </w:r>
    </w:p>
    <w:p w:rsidR="00DF4A33" w:rsidRPr="00DF4A33" w:rsidRDefault="00DF4A33" w:rsidP="00DF4A3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DF4A33" w:rsidRPr="0028711F" w:rsidRDefault="0028711F" w:rsidP="00DF4A33">
      <w:pPr>
        <w:spacing w:after="0" w:line="360" w:lineRule="auto"/>
        <w:jc w:val="center"/>
        <w:rPr>
          <w:rStyle w:val="a4"/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instrText xml:space="preserve"> HYPERLINK "http://publication.pravo.gov.ru/document/0001202605130012" </w:instrTex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separate"/>
      </w:r>
      <w:r w:rsidRPr="0028711F">
        <w:rPr>
          <w:rStyle w:val="a4"/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  <w:r w:rsidR="00DF4A33" w:rsidRPr="0028711F">
        <w:rPr>
          <w:rStyle w:val="a4"/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8 апреля 2026 г. N 139н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711F">
        <w:rPr>
          <w:rStyle w:val="a4"/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="002871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end"/>
      </w: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СТАНДАРТ ОКАЗАНИЯ УСЛУГИ ПО ПРОТЕЗИРОВАНИЮ ИНВАЛИДОВ,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УТВЕРЖДЕННЫЙ</w:t>
      </w:r>
      <w:proofErr w:type="gramEnd"/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ПРИКАЗОМ МИНИСТЕРСТВА ТРУДА И СОЦИАЛЬНОЙ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ЗАЩИТЫ РОССИЙСКОЙ ФЕДЕРАЦИИ ОТ 18 ИЮНЯ 2025 Г. N 382Н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10.3 статьи 4 Федерального закона от 24 ноября 1995 г. N 181-ФЗ "О социальной защите инвалидов в Российской Федерации" приказываю: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Стандарт оказания услуги по протезированию инвалидов, утвержденный приказом Министерства труда и социальной защиты Российской Федерации от 18 июня 2025 г. N 382н (зарегистрирован Министерством юстиции Российской Федерации 16 июля 2025 г., регистрационный N 82958), согласно приложению к настоящему приказу.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А.О.КОТЯКОВ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28711F" w:rsidP="0028711F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hyperlink r:id="rId5" w:history="1">
        <w:r w:rsidR="00DF4A33" w:rsidRPr="0028711F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eastAsia="ru-RU"/>
          </w:rPr>
          <w:t> </w:t>
        </w:r>
        <w:r w:rsidRPr="0028711F">
          <w:rPr>
            <w:rStyle w:val="a4"/>
            <w:rFonts w:ascii="Times New Roman" w:eastAsia="Times New Roman" w:hAnsi="Times New Roman" w:cs="Times New Roman"/>
            <w:b/>
            <w:i/>
            <w:sz w:val="20"/>
            <w:szCs w:val="20"/>
            <w:lang w:eastAsia="ru-RU"/>
          </w:rPr>
          <w:t>Зарегистрировано в Минюсте РФ 12.05.2026 N 86411</w:t>
        </w:r>
      </w:hyperlink>
      <w:bookmarkStart w:id="0" w:name="_GoBack"/>
      <w:bookmarkEnd w:id="0"/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труда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защиты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апреля 2026 г. N 139н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30"/>
      <w:bookmarkEnd w:id="1"/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СТАНДАРТ ОКАЗАНИЯ УСЛУГИ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ПРОТЕЗИРОВАНИЮ ИНВАЛИДОВ, </w:t>
      </w:r>
      <w:proofErr w:type="gramStart"/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УТВЕРЖДЕННЫЙ</w:t>
      </w:r>
      <w:proofErr w:type="gramEnd"/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ПРИКАЗОМ МИНИСТЕРСТВА ТРУДА И СОЦИАЛЬНОЙ ЗАЩИТЫ </w:t>
      </w:r>
    </w:p>
    <w:p w:rsidR="00DF4A33" w:rsidRPr="00DF4A33" w:rsidRDefault="00DF4A33" w:rsidP="00DF4A3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4A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ОТ 18 ИЮНЯ 2025 Г. N 382Н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разделе I: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2: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пятый дополнить словами "(далее - постановление N 240)";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одиннадцатом слова "и от 7 июля 2020 г. N 686н (зарегистрирован Министерством юстиции Российской Федерации 10 августа 2020 г., регистрационный N 59225)" заменить словами ", от 7 июля 2020 г. N 686н (зарегистрирован Министерством юстиции Российской Федерации 10 августа 2020 г., регистрационный N 59225) и от 24 </w:t>
      </w: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июня 2025 г. N 364н (зарегистрирован Министерством юстиции Российской Федерации 5 августа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г., регистрационный N 83136)"; </w:t>
      </w:r>
      <w:proofErr w:type="gramEnd"/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абзаца пятнадцатого дополнить абзацами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"приказом Министерства труда и социальной защиты Российской Федерации от 15 июня 2020 г. N 337н "Об утверждении профессионального стандарта "Врач - челюстно-лицевой хирург" (зарегистрирован Министерством юстиции Российской Федерации 17 июля 2020 г., регистрационный N 59002);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труда и социальной защиты Российской Федерации от 31 июля 2020 г. N 474н "Об утверждении профессионального стандарта "Зубной техник" (зарегистрирован Министерством юстиции Российской Федерации 4 сентября 2020 г., регистрационный N 59648);";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шестнадцатом слова "с изменениями, внесенными приказом Министерства здравоохранения Российской Федерации от 7 ноября 2022 г. N 727н (зарегистрирован Министерством юстиции Российской Федерации 9 декабря 2022 г., регистрационный N 71434)" заменить словами "с изменениями, внесенными приказами Министерства здравоохранения Российской Федерации от 7 ноября 2022 г. N 727н (зарегистрирован Министерством юстиции Российской Федерации 9 декабря 2022 г., регистрационный N 71434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от 16 сентября 2025 г. N 567н (зарегистрирован Министерством юстиции Российской Федерации 23 октября 2025 г., регистрационный N 83928), срок действия - до 1 сентября 2027 г.";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семнадцатый изложить в следующей редакции: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"приказом Министерства труда и социальной защиты Российской Федерации от 19 апреля 2021 г. N 258н "Об утверждении профессионального стандарта "Специалист по проектированию и моделированию полимерных изделий" (зарегистрирован Министерством юстиции Российской Федерации 21 мая 2021 г., регистрационный N 63559), срок действия - до 1 сентября 2027 г.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восемнадцатом слова "с изменениями, внесенными приказом Министерства здравоохранения Российской Федерации от 4 декабря 2023 г. N 649н (зарегистрирован Министерством юстиции Российской Федерации 21 декабря 2023 г., регистрационный N 76537), срок действия - до 1 сентября 2025 г." заменить словами "с изменениями, внесенными приказами Министерства здравоохранения Российской Федерации от 4 декабря 2023 г. N 649н (зарегистрирован Министерством юстиции Российской Федерации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2023 г., регистрационный N 76537) и от 3 июня 2025 г. N 328н (зарегистрирован Министерством юстиции Российской Федерации 3 июля 2025 г., регистрационный N 82801)"; </w:t>
      </w:r>
      <w:proofErr w:type="gramEnd"/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девятнадцатый дополнить словами "с изменениями, внесенными приказами Министерства здравоохранения Российской Федерации от 19 февраля 2024 г. N 72н (зарегистрирован Министерством юстиции Российской Федерации 25 марта 2024 г., регистрационный N 77616) и от 29 августа 2025 г. N 515н (зарегистрирован Министерством юстиции Российской Федерации 29 августа 2025 г., регистрационный N 83410), срок действия - до 1 сентября 2026 г."; </w:t>
      </w:r>
      <w:proofErr w:type="gramEnd"/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двадцатый признать утратившим силу;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двадцать третий дополнить словами "с изменениями, внесенными приказом Министерства труда и социальной защиты Российской Федерации от 29 сентября 2025 г. </w:t>
      </w: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N 577н (зарегистрирован Министерством юстиции Российской Федерации 28 октября 2025 г., регистрационный N 83977)";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двадцать четвертом слова "с изменениями, внесенными приказом Министерства труда и социальной защиты Российской Федерации от 10 апреля 2025 г. N 199н (зарегистрирован Министерством юстиции Российской Федерации 14 мая 2025 г., регистрационный N 82167)" заменить словами "с изменениями, внесенными приказами Министерства труда и социальной защиты Российской Федерации от 10 апреля 2025 г. N 199н (зарегистрирован Министерством юстиции Российской Федерации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мая 2025 г., регистрационный N 82167) и от 16 января 2026 г. N 10н (зарегистрирован Министерством юстиции Российской Федерации 13 февраля 2026 г., регистрационный N 85332)"; </w:t>
      </w:r>
      <w:proofErr w:type="gramEnd"/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абзацем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"приказом Министерства труда и социальной защиты Российской Федерации от 14 июля 2025 г. N 438н "Об утверждении сроков пользования техническими средствами реабилитации, протезами и протезно-ортопедическими изделиями" (зарегистрирован Министерством юстиции Российской Федерации 25 августа 2025 г., регистрационный N 83311) с изменениями, внесенными приказом Министерства труда и социальной защиты Российской Федерации от 16 января 2026 г. N 10н (зарегистрирован Министерством юстиции Российской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13 февраля 2026 г., регистрационный N 85332)."; </w:t>
      </w:r>
      <w:proofErr w:type="gramEnd"/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пункте 5: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абзаца первого дополнить абзацем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"глазной протез - техническое средство реабилитации для замещения анатомического дефекта глазного яблока и восстановления внешнего вида и (или) симметрии лица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абзаца пятнадцатого дополнить абзацами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"протез лицевой комбинированный, в том числе совмещенные протезы (ушной и (или) носовой и (или) глазницы) - техническое средство реабилитации, предназначенное для восстановления утраченных частей лица, которое 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сочетание различных типов протезов, например, носового и глазного;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протез носовой - техническое средство реабилитации, предназначенное для восстановления формы и внешнего вида носа после травмы, операции или врожденной аномалии;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 ушной - техническое средство реабилитации, восстанавливающее утраченную или деформированную ушную раковину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абзацем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</w:t>
      </w:r>
      <w:proofErr w:type="spell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 - техническое средство реабилитации, имитирующее форму, вес и консистенцию утраченной молочной железы или ее части, предназначенный для восполнения косметического дефекта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."; </w:t>
      </w:r>
      <w:proofErr w:type="gramEnd"/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пункте 6: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абзаца первого дополнить абзацами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"ЦРГ 3.1 - инвалиды вследствие слепоты или слабовидения;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ЦРГ 3.3 - инвалиды вследствие сочетанных нарушений функций зрения и слуха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дополнить абзацами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ЦРГ 11 - инвалиды с врожденными или приобретенными деформациями (аномалиями развития), последствиями травм лица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пункте 13 раздела III: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абзац первый изложить в следующей редакции: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"13. Содержание, продолжительность и кратность мероприятий, входящих в состав услуги, зависят от вида и степени выраженности нарушений функций ОДА, поражений лицевого отдела черепа, последствиями поражения органа зрения, утраты молочной железы, а также вида ТСР с учетом способа управления протезом и уровня ампутации конечности, прочих комбинированных функциональных параметров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абзац первый подпункта "а" изложить в следующей редакции: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"а) верхней конечности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абзац первый подпункта "б" изложить в следующей редакции: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"б) нижней конечности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дополнить подпунктами "в" и "г"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"в) сегментов головы: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глазной протез;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протез ушной;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протез носовой;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протез лицевой комбинированный, в том числе совмещенные протезы (ушной и (или) носовой и (или) глазницы);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молочной железы: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</w:t>
      </w:r>
      <w:proofErr w:type="spell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Разделы IV и V изложить в следующей редакции: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"Раздел IV. Перечень специалистов, привлекаемых к реализации </w:t>
      </w:r>
    </w:p>
    <w:p w:rsidR="00DF4A33" w:rsidRP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предусмотренной стандартом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546"/>
        <w:gridCol w:w="6175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Специалисты, привлекаемые к реализации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должности (профессии) &lt;6&gt;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верхних и нижних конечностей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 физической и реабилитационной медицины/врач по медицинской реабилитации/врач по лечебной физкультуре/врач-физиотерапевт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 по лечебной физкультуре/инструктор-методист по лечебной физкультуре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по физиотерапии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Врач-терапевт/врач общей практики/врач-невролог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адаптивной физической культуре и адаптивному спорту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по массажу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Механик протезно-ортопедических изделий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Шорник по изготовлению и отделке ПОИ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глазному протезированию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Художник-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глазопротезист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изготовлении индивидуального глазного протеза)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поврежденных (утраченных) сегментов головы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Врач-стоматолог/врач-стоматолог-ортопед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по проектированию и моделированию полимерных изделий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Врач-онколог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При перечислении в перечне должностей специалистов через слеш</w:t>
      </w: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(/) 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допустимо наличие у поставщика услуги по протезированию минимум одной из перечисленных должностей.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F4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4A33" w:rsidRP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V. Перечень мероприятий, входящих в состав услуги, </w:t>
      </w:r>
    </w:p>
    <w:p w:rsidR="00DF4A33" w:rsidRP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стандартом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4908"/>
        <w:gridCol w:w="1117"/>
        <w:gridCol w:w="4346"/>
        <w:gridCol w:w="2915"/>
      </w:tblGrid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Получатель услуги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Специалисты, реализующие мероприятия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рекомендуемые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  <w:tr w:rsidR="00DF4A33" w:rsidRPr="00DF4A33" w:rsidTr="00DF4A3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верхних и нижних конечностей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 физической и реабилитационной медицины/врач по медицинской реабилитации/врач по лечебной физкультуре/врач-физиотерапевт;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лечебной физкультуре/инструктор по лечебной физкультуре;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по физиотерапии;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Врач-терапевт/врач общей практики/врач-невролог;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по массажу;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адаптивной физической культуре и адаптивному спорту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(изготовление)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Шорник по изготовлению и отделке ПОИ;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механик протезно-ортопедических изделий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Подгонка (настройка)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инвалида безопасному и эффективному пользованию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лечебной физкультуре/инструктор по лечебной физкультуре;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Инструктор-методист по адаптивной физической культуре и адаптивному спорту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Шорник по изготовлению и отделке ПОИ </w:t>
            </w:r>
          </w:p>
        </w:tc>
      </w:tr>
      <w:tr w:rsidR="00DF4A33" w:rsidRPr="00DF4A33" w:rsidTr="00DF4A3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глазному протезированию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или изготовление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художник-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глазопротезист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изготовлении индивидуального глазного протеза)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Врач-офтальмолог/врач-офтальмолог-протезист;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художник-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глазопротезист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изготовлении индивидуального глазного протеза)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поврежденных (утраченных) сегментов головы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Врач-стоматолог/врач-стоматолог-ортопед;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Врач-стоматолог/врач-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стоматол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-ортопед;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по проектированию и моделированию полимерных изделий;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Врач-стоматолог/врач-стоматолог-ортопед;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- челюстно-лицевой хирург/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врач-пластический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Врач-стоматолог/врач-стоматолог-ортопед;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зубной техник;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</w:tr>
      <w:tr w:rsidR="00DF4A33" w:rsidRPr="00DF4A33" w:rsidTr="00DF4A3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протезированию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Медицинский психолог/психолог;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врач-онколог;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Врач-онколог;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Врач-онколог;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Врач-травматолог-ортопед/врач-хирург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Медицинская сестра;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техник-протезист (или инженер-протезист/инженер-технолог-протезист) </w:t>
            </w:r>
          </w:p>
        </w:tc>
      </w:tr>
    </w:tbl>
    <w:p w:rsidR="00DF4A33" w:rsidRPr="00DF4A33" w:rsidRDefault="00DF4A33" w:rsidP="00DF4A33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Раздел VI дополнить пунктами 21(1) - 21(3) следующего содержания: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"21(1). Содержание мероприятий, входящих в состав услуги по глазному протезированию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637"/>
        <w:gridCol w:w="8565"/>
        <w:gridCol w:w="2060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реализации мероприятия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Сбор социально-психологического анамнеза посредством беседы, опроса, анкетирования (при необходимости с привлечением законного (уполномоченного) представителя инвалида);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формирование заключения по результатам первичной (входящей) социально-психологической </w:t>
            </w: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диагностики;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индивидуально-личностное психологическое консультирование, направленное на проработку и решение обусловленных болезнью и инвалидностью проблем;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проведение практических занятий (психологическая коррекция);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формирование заключения по результатам повторной (контрольной) социально-психологической диагностики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Полустационарная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Оценка состояния органа зрения, анализ медицинской документации, определение временных противопоказаний;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формирование конъюнктивальной полости и опорно-двигательной культи к ношению глазного протеза (восстановление оптимальных условий для ношения протеза);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подбор первичного лечебного протеза из числа готовых форм для формирования опорно-двигательной культи;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Полустационарная, стационарная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протезирование в период формирования конъюнктивального мешка: подбор глазного протеза из числа готовых форм с периодической заменой в зависимости от изменений размеров и формы глазной полости (ступенчатое протезирование)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амбулаторно (полустационарная)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или изготовление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Вариант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подбор стандартного глазного протеза.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 подгонка постоянного глазного протеза пластмассового или стеклянного с учетом физических характеристик сохранившегося глаза (положения в конъюнктивальном мешке, цвет склер, радужки).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Вариант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изготовление индивидуального глазного протеза.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стеклянного или пластмассового протеза в соответствии с цветовыми и рельефными характеристиками парного глаза и формой глазной полости на стороне анофтальма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пользованию глазным протезом;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приемам ухода за полостью конъюнктивального мешка;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разъяснение о сроках замены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Шлифование с целью устранения микро раковин и борозд, травмирующих слизистую оболочку глазной полости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21(2). Содержание мероприятий, входящих в состав услуги по протезированию поврежденных (утраченных) сегментов головы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652"/>
        <w:gridCol w:w="6856"/>
        <w:gridCol w:w="1784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реализации мероприятия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Сбор социально-психологического анамнеза посредством беседы, опроса, анкетирования (при необходимости с привлечением законного (уполномоченного) представителя);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формирование заключения по результатам первичной (входящей) социально-психологической диагностики;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индивидуально-личностное психологическое консультирование, направленное на проработку и решение обусловленных болезнью и инвалидностью проблем;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проведение практических занятий (психологическая коррекция);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формирование заключения по результатам повторной (контрольной) социально-психологической диагностики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Стационарная, полустационарная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протезом ушным, протезом носовым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Оценка состояния дефекта, анализ медицинской документации, определение временных противопоказаний;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подготовка поврежденного (утраченного) сегмента головы к протезированию (восстановление оптимальных условий для ношения протеза);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установка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остеоинтегрированного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(при использовании технологии с использованием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остеоинтегрированного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Стационарная, полустационарная </w:t>
            </w: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 модели уха, носа, лица верхней и нижней челюсти: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моделирование уха, носа, поврежденной (утраченной) части лица (головы) из глины или воска или снятие гипсового отпечатка, (при необходимости использование фотографии лица больного до повреждения), снятие слепков челюстей 3D сканирование головы,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внутриротовое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сканирование;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изготовление негатива, позитива и художественной имитации уха, носа, поврежденной (утраченной) части лица (головы);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установка крепления (при необходимости);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примерка и подгонка протеза;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проверка состояния поврежденного (утраченного) сегмента головы в процессе протезирования;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контроль качества протеза;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выдача протеза инвалиду для постоянного пользования.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Стационарная, полустационарная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 использованием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остеоинтегрированного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сканирование поврежденной (утраченной) части лица (головы);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моделирование 3D модели уха, носа, поврежденной (утраченной) части лица </w:t>
            </w: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(головы), а также титанового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(опоры протеза);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изготовление негатива, позитива и художественной имитации уха, носа, поврежденной (утраченной) части лица (головы), титанового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 магнитами;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примерка и подгонка протеза;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проверка состояния поврежденного (утраченного) сегмента головы в процессе протезирования;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контроль качества протеза;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выдача протеза инвалиду для постоянного пользования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пользованию протезом;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приемам ухода за поврежденным сегментом головы;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разъяснение о сроках замены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Стационарная, полустационарная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Шлифование и (или) восстановление красочного слоя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Стационарная, полустационарная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21(3). Содержание мероприятий, входящих в состав услуги по протезированию </w:t>
      </w:r>
      <w:proofErr w:type="spell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экзопротезом</w:t>
      </w:r>
      <w:proofErr w:type="spell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213"/>
        <w:gridCol w:w="9259"/>
        <w:gridCol w:w="1815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 мероприятия, входящего в состав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реализации мероприятия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Перед проведением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экзопротезирования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рекомендуется учитывать возраст, рост, вес инвалида и иные антропометрические характеристики: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форму, расположение и размеры соответствующих сегментов верхней конечности (конечностей);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стабильность и объем (объемы) движений в плечевом суставе (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сусиавах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мышечную силу и нервно-мышечный контроль верхней конечности (конечностей);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ощущение или наличие боли;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наличие малоподвижных, болезненных рубцов, спаянных с подлежащими тканями с пониженной кожной чувствительностью;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наличие гипертензии области рубца;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- отеки в области рубца вследствие нарушения венозного оттока и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лимфообращения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лимфоотек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ограничение подвижности в плечевом суставе, вызванные рубцовыми изменениями в области плечевого сустава;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нарушение осанки, в том числе асимметричного расположения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надплечий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боковое искривление позвоночника;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увеличение угла приведения плеча на стороне ампутации;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высокое расположение ключицы;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сколиотические изменения в грудном отделе позвоночника;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двустороннюю ампутацию;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сочетанности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ампутации молочной железы с заболеваниями различной этиологии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Полустационарная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Проведение замеров здоровой молочной железы при односторонней ампутации или определение размеров при двусторонней ампутации с учетом личных пожеланий инвалида и медицинских показаний;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сбор и систематизации информации о видах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экзопротезов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железы, их функциональных возможностях и ограничениях (различных по массе (легкие, облегченные, полновесные), по конфигурации (с удлиненной верхней частью при дефектах подключичной частью, с удлиненной наружно-боковой частью соответствующей дефекту в подмышечной области, с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поднутрением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без), по используемым материалам конструкций);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подбор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первичного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(при необходимости);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подбор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постоянного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подбор вспомогательных сре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дл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 крепления протеза (бюстгальтера,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полуграции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грации)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навыкам использования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и вспомогательных сре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кр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епления протеза (бюстгальтера,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полуграции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грации);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обучение приемам ухода за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железы; </w:t>
            </w:r>
          </w:p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разъяснение о сроках замены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Ремонт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железы, с учетом износа, изменения антропометрических, биомеханических параметров инвалида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Полустационарная </w:t>
            </w:r>
          </w:p>
        </w:tc>
      </w:tr>
    </w:tbl>
    <w:p w:rsidR="00DF4A33" w:rsidRPr="00DF4A33" w:rsidRDefault="00DF4A33" w:rsidP="00DF4A33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Раздел VII изложить в следующей редакции: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"Раздел VII. Показатели продолжительности и кратности </w:t>
      </w:r>
    </w:p>
    <w:p w:rsidR="00DF4A33" w:rsidRP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мероприятий, входящих в состав услуги, </w:t>
      </w:r>
    </w:p>
    <w:p w:rsidR="00DF4A33" w:rsidRPr="00DF4A33" w:rsidRDefault="00DF4A33" w:rsidP="00DF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</w:t>
      </w:r>
      <w:proofErr w:type="gram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стандартом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Показатели кратности мероприятий при первичном, первично-постоянном протезировании верхних и нижних конечностей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38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974"/>
        <w:gridCol w:w="1971"/>
        <w:gridCol w:w="2176"/>
        <w:gridCol w:w="1657"/>
        <w:gridCol w:w="3603"/>
        <w:gridCol w:w="2144"/>
        <w:gridCol w:w="988"/>
      </w:tblGrid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(изготовление) &lt;6(1)&gt;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Подгонка (настройка)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инвалида безопасному и эффективному пользованию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</w:t>
            </w: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14 - 35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5 - 7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44 - 79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14 - 35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5 - 7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44 - 79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87 - 157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87 - 157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 + ЦРГ 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87 - 157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 + ЦРГ 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36 - 54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42 - 105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15 - 21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36 - 54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130 - 235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 + ЦРГ 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36 - 54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42 - 105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15 - 21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36 - 54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130 - 235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 + ЦРГ 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48 - 72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56 - 140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20 - 28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48 - 72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173 - 313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Показатели кратности мероприятий при постоянном протезировании верхних и нижних конечностей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38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974"/>
        <w:gridCol w:w="1971"/>
        <w:gridCol w:w="2176"/>
        <w:gridCol w:w="1657"/>
        <w:gridCol w:w="3603"/>
        <w:gridCol w:w="2144"/>
        <w:gridCol w:w="988"/>
      </w:tblGrid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(изготовление) &lt;6(1)&gt;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Подгонка (настройка)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инвалида безопасному и эффективному пользованию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</w:t>
            </w: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6 - 9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14 - 28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5 - 7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27 - 54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6 - 9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14 - 28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5 - 7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27 - 54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52 - 107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52 - 107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 + ЦРГ 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28 - 56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10 - 14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52 - 107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4.3 + ЦРГ 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18 - 27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42 - 84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15 - 21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77 - 160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 + ЦРГ 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18 - 27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42 - 84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15 - 21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77 - 160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4.4 + ЦРГ 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56 - 112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20 - 28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1 - 36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1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102 - 213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&lt;6(1)&gt; С учетом положений постановления N 240 производство (изготовление) одного протезно-ортопедического изделия по индивидуальному заказу не может превышать 60 календарных дней.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23(1). Показатели кратности мероприятий при глазном протезировании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13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408"/>
        <w:gridCol w:w="2247"/>
        <w:gridCol w:w="1607"/>
        <w:gridCol w:w="1873"/>
        <w:gridCol w:w="2008"/>
        <w:gridCol w:w="521"/>
      </w:tblGrid>
      <w:tr w:rsidR="00DF4A33" w:rsidRPr="00DF4A33" w:rsidTr="00DF4A33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3.1, ЦРГ 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3 - 40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16 - 53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23(2). Показатели кратности мероприятий при протезировании поврежденных (утраченных) сегментов головы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13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629"/>
        <w:gridCol w:w="1439"/>
        <w:gridCol w:w="2424"/>
        <w:gridCol w:w="2489"/>
        <w:gridCol w:w="2501"/>
        <w:gridCol w:w="504"/>
      </w:tblGrid>
      <w:tr w:rsidR="00DF4A33" w:rsidRPr="00DF4A33" w:rsidTr="00DF4A33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ЦРГ 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23(3). Показатели кратности мероприятий при протезировании </w:t>
      </w:r>
      <w:proofErr w:type="spell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экзопротезом</w:t>
      </w:r>
      <w:proofErr w:type="spell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календарных днях </w:t>
      </w:r>
    </w:p>
    <w:tbl>
      <w:tblPr>
        <w:tblW w:w="113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994"/>
        <w:gridCol w:w="2181"/>
        <w:gridCol w:w="3036"/>
        <w:gridCol w:w="3177"/>
        <w:gridCol w:w="504"/>
      </w:tblGrid>
      <w:tr w:rsidR="00DF4A33" w:rsidRPr="00DF4A33" w:rsidTr="00DF4A3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Рекомендуемый диапазон единиц мероприятий, входящих в состав услуги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24(3). Показатели продолжительности мероприятий при протезировании верхних и нижних конечностей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657"/>
        <w:gridCol w:w="3989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Минимальная продолжительность одного мероприятия,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(изготовление)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Подгонка (настройка)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инвалида безопасному и эффективному пользованию ПОИ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ремонт, замена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F4A33" w:rsidSect="00DF4A3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"24(1). Показатели продолжительности мероприятий при глазном протезировании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147"/>
        <w:gridCol w:w="4471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Минимальная продолжительность одного мероприятия,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или изготовление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глазным протезом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глазного протеза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24(2). Показатели продолжительности мероприятий при протезировании поврежденных (утраченных) сегментов головы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6090"/>
        <w:gridCol w:w="2638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Минимальная продолжительность одного мероприятия,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Психологическая помощь в процессе протезирования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протезированию, установка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импланта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(опоры) для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обслуживание, ремонт протеза ушного, протеза носового, протеза лицевого комбинированного, в том числе совмещенного протеза (ушной и (или) носовой и (или) глазницы)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243. Показатели продолжительности мероприятий при протезировании </w:t>
      </w:r>
      <w:proofErr w:type="spellStart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экзопротезом</w:t>
      </w:r>
      <w:proofErr w:type="spellEnd"/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железы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49"/>
        <w:gridCol w:w="4281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Минимальная продолжительность одного мероприятия,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к протезированию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экзопротезомолочной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Техническое обслуживание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экзопротеза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DF4A33" w:rsidRPr="00DF4A33" w:rsidRDefault="00DF4A33" w:rsidP="00DF4A3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F4A33" w:rsidSect="00DF4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В разделе VIII таблицу дополнить позициями 11 - 13 следующего содержания: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02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5844"/>
        <w:gridCol w:w="6353"/>
        <w:gridCol w:w="726"/>
        <w:gridCol w:w="851"/>
      </w:tblGrid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Оснащение, применяемое при глазном протезировании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Набор глазных протезов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122890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3.3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Щелевая лампа стационарная с принадлежностями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105070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Офтальмологический фонарик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173150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 инструментальный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171720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 манипуляционный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Пинцеты офтальмологические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172440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Ножницы микрохирургические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172430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Векорасширитель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274420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Векоподъемник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183620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Экзофтальмометр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176760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Канюли для промывания конъюнктивальной полости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172380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Линейка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Зеркало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Облучатель ультрафиолетовый бактерицидный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131980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Оснащение, применяемое при протезировании поврежденных (утраченных) сегментов головы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Газовая горелка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11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Линейка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Полировочная машина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3D-сканер,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3D-сканер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лабораторный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для моделей челюстей;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3D-сканер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интраоральный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3D-сканер лицевой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Фрезерный станок с ЧАУ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3Д принтер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Электромуфельная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печь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Лампа Вуда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270540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Штангенциркуль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Пинцет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172440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Стул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Верстак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Компьютер с программным продуктом 3D для моделирования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 для осмотра, терапевтических процедур, механический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187250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Шкаф для перевязочных средств и лекарственных препаратов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Аппарат для измерения артериального давления электрический с ручным нагнетанием, портативный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122850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Электрокоаугулятор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Контейнер для хранения стерильных инструментов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Столик инструментальный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171720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Столик манипуляционный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Стерилизатор для медицинских изделий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Мойка медицинская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Холодильник для лекарственных препаратов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Негатоскоп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медицинский</w:t>
            </w:r>
            <w:proofErr w:type="gram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без электрического управления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238840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Облучатель ультрафиолетовый бактерицидный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131980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Бестеневая лампа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Налобный осветитель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Оснащение, применяемое при протезировании </w:t>
            </w:r>
            <w:proofErr w:type="spell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экзопротезом</w:t>
            </w:r>
            <w:proofErr w:type="spellEnd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молочной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Весы напольные, электронные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258800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7 </w:t>
            </w: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Ростомер медицинский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157600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Лента сантиметровая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Облучатель ультрафиолетовый бактерицидный 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131980 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DF4A33" w:rsidRPr="00DF4A33" w:rsidRDefault="00DF4A33" w:rsidP="00DF4A33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F4A33" w:rsidSect="00DF4A3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F4A33" w:rsidRPr="00DF4A33" w:rsidRDefault="00DF4A33" w:rsidP="00DF4A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В разделе IX: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графу "Целевая реабилитационная группа" позиций 1, 1.1 - 1.8 таблицы изложить в следующей редакции: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"ЦРГ 3.1, ЦРГ 3.3, ЦРГ 4, ЦРГ 11"; </w:t>
      </w:r>
    </w:p>
    <w:p w:rsidR="00DF4A33" w:rsidRPr="00DF4A33" w:rsidRDefault="00DF4A33" w:rsidP="00DF4A3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после позиции 5.2 дополнить позициям 6, 6.1 - 6.4 и 7 следующего содержания: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8313"/>
        <w:gridCol w:w="925"/>
      </w:tblGrid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Технологии изготовления протезов поврежденных (утраченных) сегментов головы: 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3.3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11 </w:t>
            </w: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глазного протеза; </w:t>
            </w:r>
          </w:p>
        </w:tc>
        <w:tc>
          <w:tcPr>
            <w:tcW w:w="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протезов ушных; </w:t>
            </w:r>
          </w:p>
        </w:tc>
        <w:tc>
          <w:tcPr>
            <w:tcW w:w="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протезов носовых; </w:t>
            </w:r>
          </w:p>
        </w:tc>
        <w:tc>
          <w:tcPr>
            <w:tcW w:w="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протезов ушных, протезов носовых, протезов лицевых комбинированных, в том числе совмещенных протезов (ушной и (или) носовой и (или) глазницы) комбинированных </w:t>
            </w:r>
            <w:proofErr w:type="gramEnd"/>
          </w:p>
        </w:tc>
        <w:tc>
          <w:tcPr>
            <w:tcW w:w="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F4A33" w:rsidRPr="00DF4A33" w:rsidTr="00DF4A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A33" w:rsidRPr="00DF4A33" w:rsidRDefault="00DF4A33" w:rsidP="00D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 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3.1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3.3 </w:t>
            </w:r>
          </w:p>
          <w:p w:rsidR="00DF4A33" w:rsidRPr="00DF4A33" w:rsidRDefault="00DF4A33" w:rsidP="00DF4A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4A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ЦРГ 11 </w:t>
            </w:r>
          </w:p>
        </w:tc>
      </w:tr>
    </w:tbl>
    <w:p w:rsidR="00DF4A33" w:rsidRPr="00DF4A33" w:rsidRDefault="00DF4A33" w:rsidP="00DF4A33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DF4A33" w:rsidRPr="00DF4A33" w:rsidRDefault="00DF4A33" w:rsidP="00DF4A3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0B0" w:rsidRPr="00DF4A33" w:rsidRDefault="000700B0" w:rsidP="00DF4A33"/>
    <w:sectPr w:rsidR="000700B0" w:rsidRPr="00DF4A33" w:rsidSect="00DF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CD"/>
    <w:rsid w:val="00012CDF"/>
    <w:rsid w:val="000700B0"/>
    <w:rsid w:val="0028711F"/>
    <w:rsid w:val="00485F55"/>
    <w:rsid w:val="005245BA"/>
    <w:rsid w:val="0054413B"/>
    <w:rsid w:val="008D7753"/>
    <w:rsid w:val="00A119C6"/>
    <w:rsid w:val="00A4250E"/>
    <w:rsid w:val="00B106CD"/>
    <w:rsid w:val="00D92B22"/>
    <w:rsid w:val="00D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4A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4A3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4A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4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consultant.ru/special/documents/document/590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5115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2026-05-17T03:22:00Z</dcterms:created>
  <dcterms:modified xsi:type="dcterms:W3CDTF">2026-05-17T03:24:00Z</dcterms:modified>
</cp:coreProperties>
</file>