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85" w:rsidRDefault="00783B85" w:rsidP="00783B85">
      <w:pPr>
        <w:pStyle w:val="a3"/>
        <w:spacing w:line="360" w:lineRule="auto"/>
        <w:jc w:val="center"/>
      </w:pPr>
      <w:r>
        <w:rPr>
          <w:rStyle w:val="a5"/>
        </w:rPr>
        <w:t>МИНИСТЕРСТВО ФИНАНСОВ РОССИЙСКОЙ ФЕДЕРАЦИИ</w:t>
      </w:r>
      <w:r>
        <w:br/>
      </w:r>
      <w:r>
        <w:rPr>
          <w:rStyle w:val="a5"/>
        </w:rPr>
        <w:t>ФЕДЕРАЛЬНАЯ НАЛОГОВАЯ СЛУЖБА</w:t>
      </w:r>
      <w:r>
        <w:br/>
      </w:r>
      <w:hyperlink r:id="rId6" w:history="1">
        <w:r>
          <w:rPr>
            <w:rStyle w:val="a4"/>
            <w:b/>
            <w:bCs/>
          </w:rPr>
          <w:t>Письмо ФНС России от 01.07.2026 N ЕА-26-15/1108@</w:t>
        </w:r>
      </w:hyperlink>
      <w:r>
        <w:br/>
      </w:r>
      <w:bookmarkStart w:id="0" w:name="_GoBack"/>
      <w:bookmarkEnd w:id="0"/>
    </w:p>
    <w:p w:rsidR="00783B85" w:rsidRDefault="00783B85" w:rsidP="00783B85">
      <w:pPr>
        <w:pStyle w:val="a3"/>
        <w:ind w:firstLine="567"/>
      </w:pPr>
      <w:hyperlink r:id="rId7" w:history="1">
        <w:r>
          <w:rPr>
            <w:rStyle w:val="a5"/>
          </w:rPr>
          <w:t>По вопросам Республики Казахстан</w:t>
        </w:r>
      </w:hyperlink>
    </w:p>
    <w:p w:rsidR="00783B85" w:rsidRDefault="00783B85" w:rsidP="00783B85">
      <w:pPr>
        <w:pStyle w:val="a3"/>
        <w:ind w:firstLine="567"/>
        <w:jc w:val="both"/>
      </w:pPr>
      <w:r>
        <w:t xml:space="preserve">ФНС России, рассмотрев вопросы в отношении </w:t>
      </w:r>
      <w:proofErr w:type="gramStart"/>
      <w:r>
        <w:t>механизма национальной системы подтверждения ожидания поставки</w:t>
      </w:r>
      <w:proofErr w:type="gramEnd"/>
      <w:r>
        <w:t xml:space="preserve"> товаров (далее - СПОТ) направляет ответы согласно </w:t>
      </w:r>
      <w:hyperlink r:id="rId8" w:anchor="block_1000" w:history="1">
        <w:r>
          <w:rPr>
            <w:rStyle w:val="a4"/>
          </w:rPr>
          <w:t>приложению</w:t>
        </w:r>
      </w:hyperlink>
      <w:r>
        <w:t>.</w:t>
      </w:r>
    </w:p>
    <w:p w:rsidR="00783B85" w:rsidRPr="00ED17DA" w:rsidRDefault="00783B85" w:rsidP="00783B85">
      <w:pPr>
        <w:pStyle w:val="a3"/>
        <w:jc w:val="right"/>
        <w:rPr>
          <w:b/>
        </w:rPr>
      </w:pPr>
      <w:r w:rsidRPr="00ED17DA">
        <w:rPr>
          <w:b/>
        </w:rPr>
        <w:t>Действительный</w:t>
      </w:r>
      <w:r w:rsidRPr="00ED17DA">
        <w:rPr>
          <w:b/>
        </w:rPr>
        <w:br/>
        <w:t>государственный советник</w:t>
      </w:r>
      <w:r w:rsidRPr="00ED17DA">
        <w:rPr>
          <w:b/>
        </w:rPr>
        <w:br/>
        <w:t>Российской Федерации</w:t>
      </w:r>
      <w:r w:rsidRPr="00ED17DA">
        <w:rPr>
          <w:b/>
        </w:rPr>
        <w:br/>
        <w:t>2 класса</w:t>
      </w:r>
      <w:r w:rsidRPr="00ED17DA">
        <w:rPr>
          <w:b/>
        </w:rPr>
        <w:br/>
        <w:t>А.В.ЕГОРИЧЕВ</w:t>
      </w:r>
    </w:p>
    <w:p w:rsidR="00783B85" w:rsidRPr="00ED17DA" w:rsidRDefault="00ED17DA" w:rsidP="00ED17DA">
      <w:pPr>
        <w:pStyle w:val="a3"/>
        <w:ind w:firstLine="567"/>
        <w:jc w:val="both"/>
        <w:rPr>
          <w:b/>
        </w:rPr>
      </w:pPr>
      <w:r>
        <w:t> </w:t>
      </w:r>
      <w:r w:rsidR="00783B85" w:rsidRPr="00ED17DA">
        <w:rPr>
          <w:b/>
        </w:rPr>
        <w:t>Приложение: на 4 листах.</w:t>
      </w:r>
    </w:p>
    <w:p w:rsidR="00783B85" w:rsidRDefault="00783B85" w:rsidP="00783B85">
      <w:pPr>
        <w:pStyle w:val="s1"/>
        <w:ind w:firstLine="567"/>
        <w:jc w:val="both"/>
      </w:pPr>
      <w:r>
        <w:t>1. Предусматривается ли переходный период после запуска СПОТ, в течени</w:t>
      </w:r>
      <w:proofErr w:type="gramStart"/>
      <w:r>
        <w:t>и</w:t>
      </w:r>
      <w:proofErr w:type="gramEnd"/>
      <w:r>
        <w:t xml:space="preserve"> которого к участникам ВЭД не будут применяться меры ответственности и штрафные санкции за нарушения, связанные с использованием новой системы?</w:t>
      </w:r>
    </w:p>
    <w:p w:rsidR="00783B85" w:rsidRDefault="00783B85" w:rsidP="00783B85">
      <w:pPr>
        <w:pStyle w:val="s1"/>
        <w:ind w:firstLine="567"/>
        <w:jc w:val="both"/>
      </w:pPr>
      <w:hyperlink r:id="rId9" w:history="1">
        <w:r>
          <w:rPr>
            <w:rStyle w:val="a4"/>
          </w:rPr>
          <w:t>Постановлением</w:t>
        </w:r>
      </w:hyperlink>
      <w:r>
        <w:t> Правительства Российской Федерации от 29.05.2026 № 641 (далее - Постановление) определены случаи освобождения от внесения обеспечительного платежа в отношении товаров, на которые распространяются положения законодательства Российской Федерации о СПОТ. Постановлением установлено, что обеспечительный платеж не подлежит внесению с 1 июня по 30 июня 2026 г. при ввозе товаров на территорию Российской Федерации с территории другого государства - члена Евразийского экономического союза.</w:t>
      </w:r>
    </w:p>
    <w:p w:rsidR="00783B85" w:rsidRDefault="00783B85" w:rsidP="00783B85">
      <w:pPr>
        <w:pStyle w:val="s1"/>
        <w:ind w:firstLine="567"/>
        <w:jc w:val="both"/>
      </w:pPr>
      <w:r>
        <w:t xml:space="preserve">2. Каким образом будут урегулироваться случаи технических сбоев системы СПОТ, и кто будет нести ответственность за убытки участников ВЭД в случае задержки либо </w:t>
      </w:r>
      <w:proofErr w:type="spellStart"/>
      <w:r>
        <w:t>недопуска</w:t>
      </w:r>
      <w:proofErr w:type="spellEnd"/>
      <w:r>
        <w:t xml:space="preserve"> товаров по причинам, связанным с некорректной работой системы?</w:t>
      </w:r>
    </w:p>
    <w:p w:rsidR="00783B85" w:rsidRDefault="00783B85" w:rsidP="00783B85">
      <w:pPr>
        <w:pStyle w:val="s1"/>
        <w:ind w:firstLine="567"/>
        <w:jc w:val="both"/>
      </w:pPr>
      <w:r>
        <w:t>На случай возникновения технических сбоев создана техническая поддержка сервиса заявителя 24/7, а также горячая линия ФНС России. Между ФНС России и ФТС России налажен альтернативный канал связи по обмену сведениями для обеспечения бесперебойной работы системы.</w:t>
      </w:r>
    </w:p>
    <w:p w:rsidR="00783B85" w:rsidRDefault="00783B85" w:rsidP="00783B85">
      <w:pPr>
        <w:pStyle w:val="s1"/>
        <w:ind w:firstLine="567"/>
        <w:jc w:val="both"/>
      </w:pPr>
      <w:r>
        <w:t>3. Планируется ли создание службы технической поддержки (</w:t>
      </w:r>
      <w:proofErr w:type="spellStart"/>
      <w:proofErr w:type="gramStart"/>
      <w:r>
        <w:t>колл</w:t>
      </w:r>
      <w:proofErr w:type="spellEnd"/>
      <w:r>
        <w:t>-центра</w:t>
      </w:r>
      <w:proofErr w:type="gramEnd"/>
      <w:r>
        <w:t>, горячей линии) для оперативного решения вопросов, возникающих при работе со СПОТ?</w:t>
      </w:r>
    </w:p>
    <w:p w:rsidR="00783B85" w:rsidRDefault="00783B85" w:rsidP="00783B85">
      <w:pPr>
        <w:pStyle w:val="s1"/>
        <w:ind w:firstLine="567"/>
        <w:jc w:val="both"/>
      </w:pPr>
      <w:r>
        <w:t>Создана служба технической поддержки сервиса заявителя, а также горячая линия ФНС России для обеспечения бесперебойной работы системы.</w:t>
      </w:r>
    </w:p>
    <w:p w:rsidR="00783B85" w:rsidRDefault="00783B85" w:rsidP="00783B85">
      <w:pPr>
        <w:pStyle w:val="s1"/>
        <w:ind w:firstLine="567"/>
        <w:jc w:val="both"/>
      </w:pPr>
      <w:r>
        <w:t>4. Каким образом будет осуществляться применение СПОТ при поставках товаров на склады, принадлежащие либо арендуемые казахстанскими компаниями на территории Российской Федерации, без перехода права собственности на товар российскому получателю?</w:t>
      </w:r>
    </w:p>
    <w:p w:rsidR="00783B85" w:rsidRDefault="00783B85" w:rsidP="00783B85">
      <w:pPr>
        <w:pStyle w:val="s1"/>
        <w:ind w:firstLine="567"/>
        <w:jc w:val="both"/>
      </w:pPr>
      <w:r>
        <w:lastRenderedPageBreak/>
        <w:t>Согласно </w:t>
      </w:r>
      <w:hyperlink r:id="rId10" w:anchor="block_1104" w:history="1">
        <w:r>
          <w:rPr>
            <w:rStyle w:val="a4"/>
          </w:rPr>
          <w:t>части 4 статьи 11</w:t>
        </w:r>
      </w:hyperlink>
      <w:r>
        <w:t> Федерального закона от 17.04.2026 № 101 "О национальной системе подтверждения ожидания поставки товаров и о внесении изменений в отдельные законодательные акты Российской Федерации" (далее-федеральный закон) обеспечительный платеж не подлежит внесению. Обязанность по формированию ДОПП сохраняется, но без внесения обеспечительного платежа.</w:t>
      </w:r>
    </w:p>
    <w:p w:rsidR="00783B85" w:rsidRDefault="00783B85" w:rsidP="00783B85">
      <w:pPr>
        <w:pStyle w:val="s1"/>
        <w:ind w:firstLine="567"/>
        <w:jc w:val="both"/>
      </w:pPr>
      <w:r>
        <w:t>5. Не приведет ли применение обеспечительного платежа и последующая уплата косвенных налогов в Российской Федерации к возникновению рисков двойного налогообложения и дополнительной финансовой нагрузки на субъекты предпринимательства, в том числе осуществляющих деятельность в сфере электронной коммерции?</w:t>
      </w:r>
    </w:p>
    <w:p w:rsidR="00783B85" w:rsidRDefault="00783B85" w:rsidP="00783B85">
      <w:pPr>
        <w:pStyle w:val="s1"/>
        <w:ind w:firstLine="567"/>
        <w:jc w:val="both"/>
      </w:pPr>
      <w:r>
        <w:t>Риск двойного налогообложения в рамках системы исключен. Роль обеспечительного платежа регламентирована </w:t>
      </w:r>
      <w:hyperlink r:id="rId11" w:history="1">
        <w:r>
          <w:rPr>
            <w:rStyle w:val="a4"/>
          </w:rPr>
          <w:t>Федеральным законом</w:t>
        </w:r>
      </w:hyperlink>
      <w:r>
        <w:t> от 17.04.2026 № 102 "О внесении изменений в статью 11.3.части первой и статьи 177 и 205 части второй налогового кодекса Российской Федерации".</w:t>
      </w:r>
    </w:p>
    <w:p w:rsidR="00783B85" w:rsidRDefault="00783B85" w:rsidP="00783B85">
      <w:pPr>
        <w:pStyle w:val="s1"/>
        <w:ind w:firstLine="567"/>
        <w:jc w:val="both"/>
      </w:pPr>
      <w:r>
        <w:t xml:space="preserve">6. Каким образом будут применяться требования СПОТ к субъектам электронной коммерции, осуществляющим реализацию товаров через </w:t>
      </w:r>
      <w:proofErr w:type="spellStart"/>
      <w:r>
        <w:t>маркетплейсы</w:t>
      </w:r>
      <w:proofErr w:type="spellEnd"/>
      <w:r>
        <w:t xml:space="preserve">, в случаях, когда </w:t>
      </w:r>
      <w:proofErr w:type="spellStart"/>
      <w:r>
        <w:t>маркетплейс</w:t>
      </w:r>
      <w:proofErr w:type="spellEnd"/>
      <w:r>
        <w:t xml:space="preserve"> не является конечным получателем товара и не осуществляет оформление QR кода?</w:t>
      </w:r>
    </w:p>
    <w:p w:rsidR="00783B85" w:rsidRDefault="00783B85" w:rsidP="00783B85">
      <w:pPr>
        <w:pStyle w:val="s1"/>
        <w:ind w:firstLine="567"/>
        <w:jc w:val="both"/>
      </w:pPr>
      <w:proofErr w:type="spellStart"/>
      <w:proofErr w:type="gramStart"/>
      <w:r>
        <w:t>C</w:t>
      </w:r>
      <w:proofErr w:type="gramEnd"/>
      <w:r>
        <w:t>огласно</w:t>
      </w:r>
      <w:proofErr w:type="spellEnd"/>
      <w:r>
        <w:t> </w:t>
      </w:r>
      <w:hyperlink r:id="rId12" w:anchor="block_110104" w:history="1">
        <w:r>
          <w:rPr>
            <w:rStyle w:val="a4"/>
          </w:rPr>
          <w:t>подпункту 4 части 1 статьи 11</w:t>
        </w:r>
      </w:hyperlink>
      <w:r>
        <w:t> федерального закона электронные торговые площадки (далее - ЭТП) освобождаются от внесения обеспечительного платежа по товарам, ввозимым в РФ в целях последующей реализации в адрес физических лиц через ЭТП.</w:t>
      </w:r>
    </w:p>
    <w:p w:rsidR="00783B85" w:rsidRDefault="00783B85" w:rsidP="00783B85">
      <w:pPr>
        <w:pStyle w:val="s1"/>
        <w:ind w:firstLine="567"/>
        <w:jc w:val="both"/>
      </w:pPr>
      <w:r>
        <w:t>Отмечаем, что подача документа о предстоящей поставке товаров (ДОПП) обязательна, после прохождения форматно логистического контроля присваивается QR код без внесения обеспечительного платежа.</w:t>
      </w:r>
    </w:p>
    <w:p w:rsidR="00783B85" w:rsidRDefault="00783B85" w:rsidP="00783B85">
      <w:pPr>
        <w:pStyle w:val="s1"/>
        <w:ind w:firstLine="567"/>
        <w:jc w:val="both"/>
      </w:pPr>
      <w:r>
        <w:t xml:space="preserve">7. Распространяются ли требования СПОТ на возвратную тару, многооборотные емкости (цистерны, баллоны, контейнеры и </w:t>
      </w:r>
      <w:proofErr w:type="spellStart"/>
      <w:proofErr w:type="gramStart"/>
      <w:r>
        <w:t>др</w:t>
      </w:r>
      <w:proofErr w:type="spellEnd"/>
      <w:proofErr w:type="gramEnd"/>
      <w:r>
        <w:t>), а также имущество, временно перемещаемое на территорию Российской Федерации для заправки, наполнения либо осуществления технологических операций с последующим возвратом в республику Казахстан, требуется ли в указанных случаях оформление документа о предстоящей поставке товаров (далее - ДОПП), получение QR-кода и внесение обеспечительного платежа?</w:t>
      </w:r>
    </w:p>
    <w:p w:rsidR="00783B85" w:rsidRDefault="00783B85" w:rsidP="00783B85">
      <w:pPr>
        <w:pStyle w:val="s1"/>
        <w:ind w:firstLine="567"/>
        <w:jc w:val="both"/>
      </w:pPr>
      <w:r>
        <w:t>Да, распространяется. Требуется оформление документа о предстоящей поставке товаров (ДОПП) без внесения обеспечительного платежа.</w:t>
      </w:r>
    </w:p>
    <w:p w:rsidR="00783B85" w:rsidRDefault="00783B85" w:rsidP="00783B85">
      <w:pPr>
        <w:pStyle w:val="s1"/>
        <w:ind w:firstLine="567"/>
        <w:jc w:val="both"/>
      </w:pPr>
      <w:r>
        <w:t>8. Каков срок действия QR-кода и требуется ли его повторное получение в случае изменения сроков перевозки, маршрута следования, транспортного средства либо иных условий поставки?</w:t>
      </w:r>
    </w:p>
    <w:p w:rsidR="00783B85" w:rsidRDefault="00783B85" w:rsidP="00783B85">
      <w:pPr>
        <w:pStyle w:val="s1"/>
        <w:ind w:firstLine="567"/>
        <w:jc w:val="both"/>
      </w:pPr>
      <w:r>
        <w:t>У QR кода нет срока действия. В документе о предстоящей поставке товаров (ДОПП) не указывается маршрут следования. Транспортное средство возможно изменить в любое время до пересечения границы.</w:t>
      </w:r>
    </w:p>
    <w:p w:rsidR="00783B85" w:rsidRDefault="00783B85" w:rsidP="00783B85">
      <w:pPr>
        <w:pStyle w:val="s1"/>
        <w:ind w:firstLine="567"/>
        <w:jc w:val="both"/>
      </w:pPr>
      <w:r>
        <w:t>9. Какая информация будет содержаться в QR-коде и будет ли она привязана к конкретному транспортному средству?</w:t>
      </w:r>
    </w:p>
    <w:p w:rsidR="00783B85" w:rsidRDefault="00783B85" w:rsidP="00783B85">
      <w:pPr>
        <w:pStyle w:val="s1"/>
        <w:ind w:firstLine="567"/>
        <w:jc w:val="both"/>
      </w:pPr>
      <w:r>
        <w:lastRenderedPageBreak/>
        <w:t>В QR коде содержится ссылка на документ о предстоящей поставке товаров (ДОПП). Согласно порядку заполнения документа о предстоящей поставке товаров (ДОПП) в документе указывается соответствующее транспортное средство.</w:t>
      </w:r>
    </w:p>
    <w:p w:rsidR="00783B85" w:rsidRDefault="00783B85" w:rsidP="00783B85">
      <w:pPr>
        <w:pStyle w:val="s1"/>
        <w:ind w:firstLine="567"/>
        <w:jc w:val="both"/>
      </w:pPr>
      <w:r>
        <w:t>10. Каков порядок действий в случае замены транспортного средства в процессе перевозки?</w:t>
      </w:r>
    </w:p>
    <w:p w:rsidR="00783B85" w:rsidRDefault="00783B85" w:rsidP="00783B85">
      <w:pPr>
        <w:pStyle w:val="s1"/>
        <w:ind w:firstLine="567"/>
        <w:jc w:val="both"/>
      </w:pPr>
      <w:r>
        <w:t xml:space="preserve">Замена транспортного средства в процессе перевозки возможна в любой момент до пересечения границы. Новый QR код не требуется, достаточно изменить в системе транспортное средство </w:t>
      </w:r>
      <w:proofErr w:type="gramStart"/>
      <w:r>
        <w:t>на</w:t>
      </w:r>
      <w:proofErr w:type="gramEnd"/>
      <w:r>
        <w:t xml:space="preserve"> актуальное, без создания нового документа о предстоящей поставке товаров (ДОПП).</w:t>
      </w:r>
    </w:p>
    <w:p w:rsidR="00783B85" w:rsidRDefault="00783B85" w:rsidP="00783B85">
      <w:pPr>
        <w:pStyle w:val="s1"/>
        <w:ind w:firstLine="567"/>
        <w:jc w:val="both"/>
      </w:pPr>
      <w:r>
        <w:t xml:space="preserve">11. В случае перевозки одной товарной партии несколькими транспортными средствами необходимо ли оформлять </w:t>
      </w:r>
      <w:proofErr w:type="gramStart"/>
      <w:r>
        <w:t>отдельный</w:t>
      </w:r>
      <w:proofErr w:type="gramEnd"/>
      <w:r>
        <w:t xml:space="preserve"> QR-код на каждое транспортное средство либо допускается оформление одного QR-кода на всю поставку?</w:t>
      </w:r>
    </w:p>
    <w:p w:rsidR="00783B85" w:rsidRDefault="00783B85" w:rsidP="00783B85">
      <w:pPr>
        <w:pStyle w:val="s1"/>
        <w:ind w:firstLine="567"/>
        <w:jc w:val="both"/>
      </w:pPr>
      <w:r>
        <w:t>В случае перевозки одной товарной партии несколькими транспортными средствами необходимо обеспечить наличие QR кода на каждое транспортное средство.</w:t>
      </w:r>
    </w:p>
    <w:p w:rsidR="00783B85" w:rsidRDefault="00783B85" w:rsidP="00783B85">
      <w:pPr>
        <w:pStyle w:val="s1"/>
        <w:ind w:firstLine="567"/>
        <w:jc w:val="both"/>
      </w:pPr>
      <w:r>
        <w:t>12. Требуется ли оформление ДОПП и получение QR-кода при транзитном перемещении товаров через территорию Российской Федерации в третьи страны?</w:t>
      </w:r>
    </w:p>
    <w:p w:rsidR="00783B85" w:rsidRDefault="00783B85" w:rsidP="00783B85">
      <w:pPr>
        <w:pStyle w:val="s1"/>
        <w:ind w:firstLine="567"/>
        <w:jc w:val="both"/>
      </w:pPr>
      <w:r>
        <w:t>При транзитном перемещении товаров через территорию Российской Федерации в третьи страны оформление ДОПП и получение QR кода не требуется.</w:t>
      </w:r>
    </w:p>
    <w:p w:rsidR="00783B85" w:rsidRDefault="00783B85" w:rsidP="00783B85">
      <w:pPr>
        <w:pStyle w:val="s1"/>
        <w:ind w:firstLine="567"/>
        <w:jc w:val="both"/>
      </w:pPr>
      <w:r>
        <w:t>13. Распространяются ли требования СПОТ на товары, направляемые в Российскую Федерацию для проведения лабораторных испытаний, исследований и сертификации без последующей реализации, и требуется ли в таких случаях оформление ДОПП, получение QR-кода и внесение обеспечительного платежа?</w:t>
      </w:r>
    </w:p>
    <w:p w:rsidR="00783B85" w:rsidRDefault="00783B85" w:rsidP="00783B85">
      <w:pPr>
        <w:pStyle w:val="s1"/>
        <w:ind w:firstLine="567"/>
        <w:jc w:val="both"/>
      </w:pPr>
      <w:r>
        <w:t>В таких случаях требуется оформление ДОПП, получение QR кода без внесения обеспечительного платежа.</w:t>
      </w:r>
    </w:p>
    <w:p w:rsidR="00783B85" w:rsidRDefault="00783B85" w:rsidP="00783B85">
      <w:pPr>
        <w:pStyle w:val="s1"/>
        <w:ind w:firstLine="567"/>
        <w:jc w:val="both"/>
      </w:pPr>
      <w:r>
        <w:t xml:space="preserve">14. Какова роль перевозчика в рамках функционирования СПОТ, какие обязанности на него </w:t>
      </w:r>
      <w:proofErr w:type="gramStart"/>
      <w:r>
        <w:t>возлагаются и каким образом</w:t>
      </w:r>
      <w:proofErr w:type="gramEnd"/>
      <w:r>
        <w:t xml:space="preserve"> будет осуществляться передача QR-кода от импортера (получателя) перевозчику?</w:t>
      </w:r>
    </w:p>
    <w:p w:rsidR="00783B85" w:rsidRDefault="00783B85" w:rsidP="00783B85">
      <w:pPr>
        <w:pStyle w:val="s1"/>
        <w:ind w:firstLine="567"/>
        <w:jc w:val="both"/>
      </w:pPr>
      <w:proofErr w:type="gramStart"/>
      <w:r>
        <w:t>Согласно </w:t>
      </w:r>
      <w:hyperlink r:id="rId13" w:anchor="block_9" w:history="1">
        <w:r>
          <w:rPr>
            <w:rStyle w:val="a4"/>
          </w:rPr>
          <w:t>статьи</w:t>
        </w:r>
        <w:proofErr w:type="gramEnd"/>
        <w:r>
          <w:rPr>
            <w:rStyle w:val="a4"/>
          </w:rPr>
          <w:t xml:space="preserve"> 9</w:t>
        </w:r>
      </w:hyperlink>
      <w:r>
        <w:t> Федерального закона перевозчик обязан:</w:t>
      </w:r>
    </w:p>
    <w:p w:rsidR="00783B85" w:rsidRDefault="00783B85" w:rsidP="00783B85">
      <w:pPr>
        <w:pStyle w:val="s1"/>
        <w:ind w:firstLine="567"/>
        <w:jc w:val="both"/>
      </w:pPr>
      <w:r>
        <w:t>1) до начала перевозки (транспортировки) товаров на территорию Российской Федерации с территории другого государства - члена ЕАЭС получить у заявителя и (или) поставщика визуализированную ссылку;</w:t>
      </w:r>
    </w:p>
    <w:p w:rsidR="00783B85" w:rsidRDefault="00783B85" w:rsidP="00783B85">
      <w:pPr>
        <w:pStyle w:val="s1"/>
        <w:ind w:firstLine="567"/>
        <w:jc w:val="both"/>
      </w:pPr>
      <w:r>
        <w:t>2) предъявлять визуализированную ссылку должностным лицам контролирующего органа СПОТ по их требованию;</w:t>
      </w:r>
    </w:p>
    <w:p w:rsidR="00783B85" w:rsidRDefault="00783B85" w:rsidP="00783B85">
      <w:pPr>
        <w:pStyle w:val="s1"/>
        <w:ind w:firstLine="567"/>
        <w:jc w:val="both"/>
      </w:pPr>
      <w:r>
        <w:t>3) выполнять законные требования должностных лиц контролирующего органа СПОТ при проведении ими проверки визуализированной ссылки, а также проверки на предмет соответствия сведений, указанных в документе о предстоящей поставке товаров, сведениям о товарах, указанным в документах, представленных перевозчиком;</w:t>
      </w:r>
    </w:p>
    <w:p w:rsidR="00783B85" w:rsidRDefault="00783B85" w:rsidP="00783B85">
      <w:pPr>
        <w:pStyle w:val="s1"/>
        <w:ind w:firstLine="567"/>
        <w:jc w:val="both"/>
      </w:pPr>
      <w:r>
        <w:lastRenderedPageBreak/>
        <w:t>4) обеспечивать незамедлительный выезд транспортного средства с находящимися в нем товарами за пределы территории Российской Федерации в случаях, указанных в </w:t>
      </w:r>
      <w:hyperlink r:id="rId14" w:anchor="block_7" w:history="1">
        <w:r>
          <w:rPr>
            <w:rStyle w:val="a4"/>
          </w:rPr>
          <w:t>7</w:t>
        </w:r>
      </w:hyperlink>
      <w:r>
        <w:t> Федерального закона.</w:t>
      </w:r>
    </w:p>
    <w:p w:rsidR="00783B85" w:rsidRDefault="00783B85" w:rsidP="00783B85">
      <w:pPr>
        <w:pStyle w:val="s1"/>
        <w:ind w:firstLine="567"/>
        <w:jc w:val="both"/>
      </w:pPr>
      <w:r>
        <w:t>15. Каков порядок временного ввоза продукции с целью вторичной переработки?</w:t>
      </w:r>
    </w:p>
    <w:p w:rsidR="00783B85" w:rsidRDefault="00783B85" w:rsidP="00783B85">
      <w:pPr>
        <w:pStyle w:val="s1"/>
        <w:ind w:firstLine="567"/>
        <w:jc w:val="both"/>
      </w:pPr>
      <w:r>
        <w:t xml:space="preserve">Порядок ввоза для перевозчика сохраняется </w:t>
      </w:r>
      <w:proofErr w:type="gramStart"/>
      <w:r>
        <w:t>прежним</w:t>
      </w:r>
      <w:proofErr w:type="gramEnd"/>
      <w:r>
        <w:t>. По данному вопросу импортер РФ может обратиться в ФНС России с соответствующим запросом в отдельном порядке. Ответственным лицом за исполнение требований СПОТ и подачу документа о предстоящей поставке товаров (ДОПП) является Заявитель.</w:t>
      </w:r>
    </w:p>
    <w:p w:rsidR="00783B85" w:rsidRDefault="00783B85" w:rsidP="00783B85">
      <w:pPr>
        <w:pStyle w:val="s1"/>
        <w:ind w:firstLine="567"/>
        <w:jc w:val="both"/>
      </w:pPr>
      <w:r>
        <w:t>16. Каков порядок экспорта вторичного сырья (побочной продукции производства, образовавшегося в результате производственного процесса), реализуемого в РФ?</w:t>
      </w:r>
    </w:p>
    <w:p w:rsidR="00783B85" w:rsidRDefault="00783B85" w:rsidP="00783B85">
      <w:pPr>
        <w:pStyle w:val="s1"/>
        <w:ind w:firstLine="567"/>
        <w:jc w:val="both"/>
      </w:pPr>
      <w:r>
        <w:t xml:space="preserve">Порядок экспорта в рамках </w:t>
      </w:r>
      <w:proofErr w:type="gramStart"/>
      <w:r>
        <w:t>внедрения национальной системы подтверждения ожидания поставки товаров</w:t>
      </w:r>
      <w:proofErr w:type="gramEnd"/>
      <w:r>
        <w:t xml:space="preserve"> не изменяется.</w:t>
      </w:r>
    </w:p>
    <w:p w:rsidR="00783B85" w:rsidRDefault="00783B85" w:rsidP="00783B85">
      <w:pPr>
        <w:pStyle w:val="s1"/>
        <w:ind w:firstLine="567"/>
        <w:jc w:val="both"/>
      </w:pPr>
      <w:r>
        <w:t>17. Распространяются ли требования системы СПОТ на ввоз товаров, ранее временно вывезенных с территории Российской Федерации на территорию Республики Казахстан?</w:t>
      </w:r>
    </w:p>
    <w:p w:rsidR="00783B85" w:rsidRDefault="00783B85" w:rsidP="00783B85">
      <w:pPr>
        <w:pStyle w:val="s1"/>
        <w:ind w:firstLine="567"/>
        <w:jc w:val="both"/>
      </w:pPr>
      <w:r>
        <w:t>Да, распространяется.</w:t>
      </w:r>
    </w:p>
    <w:p w:rsidR="00783B85" w:rsidRDefault="00783B85" w:rsidP="00783B85">
      <w:pPr>
        <w:pStyle w:val="s1"/>
        <w:ind w:firstLine="567"/>
        <w:jc w:val="both"/>
      </w:pPr>
      <w:r>
        <w:t xml:space="preserve">18. Требуется ли оформление ДОПП, получение QR-кода и внесение обеспечительного платежа при перемещении товаров для участия в выставках, ярмарках, и иных </w:t>
      </w:r>
      <w:proofErr w:type="spellStart"/>
      <w:r>
        <w:t>выставочно</w:t>
      </w:r>
      <w:proofErr w:type="spellEnd"/>
      <w:r>
        <w:t>-демонстрационных мероприятиях без их последующей реализации?</w:t>
      </w:r>
    </w:p>
    <w:p w:rsidR="00783B85" w:rsidRDefault="00783B85" w:rsidP="00783B85">
      <w:pPr>
        <w:pStyle w:val="s1"/>
        <w:ind w:firstLine="567"/>
        <w:jc w:val="both"/>
      </w:pPr>
      <w:r>
        <w:t>Да, требуется оформление ДОПП, получение QR кода без внесения обеспечительного платежа.</w:t>
      </w:r>
    </w:p>
    <w:p w:rsidR="00783B85" w:rsidRDefault="00783B85" w:rsidP="00783B85">
      <w:pPr>
        <w:pStyle w:val="s1"/>
        <w:ind w:firstLine="567"/>
        <w:jc w:val="both"/>
      </w:pPr>
      <w:r>
        <w:t>19. Распространяются ли требования СПОТ на товары, передаваемые по договорам аренды (имущественного найма), лизинга или безвозмездного пользования без перехода права собственности?</w:t>
      </w:r>
    </w:p>
    <w:p w:rsidR="00783B85" w:rsidRDefault="00783B85" w:rsidP="00783B85">
      <w:pPr>
        <w:pStyle w:val="s1"/>
        <w:ind w:firstLine="567"/>
        <w:jc w:val="both"/>
      </w:pPr>
      <w:r>
        <w:t>Да, распространяется.</w:t>
      </w:r>
    </w:p>
    <w:p w:rsidR="00783B85" w:rsidRDefault="00783B85" w:rsidP="00783B85">
      <w:pPr>
        <w:pStyle w:val="s1"/>
        <w:ind w:firstLine="567"/>
        <w:jc w:val="both"/>
      </w:pPr>
      <w:r>
        <w:t>20. Распространяются ли требования системы СПОТ на товары, перемещаемые для осуществления ремонта?</w:t>
      </w:r>
    </w:p>
    <w:p w:rsidR="00783B85" w:rsidRDefault="00783B85" w:rsidP="00783B85">
      <w:pPr>
        <w:pStyle w:val="s1"/>
        <w:ind w:firstLine="567"/>
        <w:jc w:val="both"/>
      </w:pPr>
      <w:r>
        <w:t>Да, распространяется. Требуется оформление ДОПП, получение QR кода без внесения обеспечительного платежа.</w:t>
      </w:r>
    </w:p>
    <w:p w:rsidR="00783B85" w:rsidRDefault="00783B85" w:rsidP="00783B85">
      <w:pPr>
        <w:pStyle w:val="a3"/>
        <w:jc w:val="both"/>
      </w:pPr>
      <w:r>
        <w:t> </w:t>
      </w:r>
    </w:p>
    <w:p w:rsidR="00F87B30" w:rsidRPr="00783B85" w:rsidRDefault="00F87B30" w:rsidP="00783B85"/>
    <w:sectPr w:rsidR="00F87B30" w:rsidRPr="00783B85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75B"/>
    <w:multiLevelType w:val="multilevel"/>
    <w:tmpl w:val="1492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32AC"/>
    <w:multiLevelType w:val="multilevel"/>
    <w:tmpl w:val="40E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B5DA7"/>
    <w:multiLevelType w:val="multilevel"/>
    <w:tmpl w:val="2B1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E759D"/>
    <w:multiLevelType w:val="multilevel"/>
    <w:tmpl w:val="9D2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1A00DE"/>
    <w:multiLevelType w:val="multilevel"/>
    <w:tmpl w:val="F57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B033A3"/>
    <w:multiLevelType w:val="multilevel"/>
    <w:tmpl w:val="4C2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AC0FD1"/>
    <w:multiLevelType w:val="multilevel"/>
    <w:tmpl w:val="D4C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F1203"/>
    <w:multiLevelType w:val="multilevel"/>
    <w:tmpl w:val="788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BD41D9"/>
    <w:multiLevelType w:val="multilevel"/>
    <w:tmpl w:val="A58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F1FA5"/>
    <w:multiLevelType w:val="multilevel"/>
    <w:tmpl w:val="4A8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F06A4"/>
    <w:multiLevelType w:val="multilevel"/>
    <w:tmpl w:val="E2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5F3E90"/>
    <w:multiLevelType w:val="multilevel"/>
    <w:tmpl w:val="D68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82F3E"/>
    <w:multiLevelType w:val="multilevel"/>
    <w:tmpl w:val="4AF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0B59CB"/>
    <w:multiLevelType w:val="multilevel"/>
    <w:tmpl w:val="F2C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772CB"/>
    <w:rsid w:val="002426F7"/>
    <w:rsid w:val="00277C7B"/>
    <w:rsid w:val="002B07E6"/>
    <w:rsid w:val="002D7D9A"/>
    <w:rsid w:val="00310DB7"/>
    <w:rsid w:val="00441D66"/>
    <w:rsid w:val="005005D7"/>
    <w:rsid w:val="0051498A"/>
    <w:rsid w:val="00525ABA"/>
    <w:rsid w:val="00587BCD"/>
    <w:rsid w:val="005E2268"/>
    <w:rsid w:val="00622EF4"/>
    <w:rsid w:val="0062333D"/>
    <w:rsid w:val="006A3F4C"/>
    <w:rsid w:val="006F710E"/>
    <w:rsid w:val="00742FB9"/>
    <w:rsid w:val="00752FFF"/>
    <w:rsid w:val="00783B85"/>
    <w:rsid w:val="00847224"/>
    <w:rsid w:val="008F54BB"/>
    <w:rsid w:val="00A15F2B"/>
    <w:rsid w:val="00B415B2"/>
    <w:rsid w:val="00B70054"/>
    <w:rsid w:val="00B710FE"/>
    <w:rsid w:val="00CA0B3A"/>
    <w:rsid w:val="00CA5722"/>
    <w:rsid w:val="00CC0FA2"/>
    <w:rsid w:val="00CC5681"/>
    <w:rsid w:val="00DE45D3"/>
    <w:rsid w:val="00E95B63"/>
    <w:rsid w:val="00ED17DA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8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8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55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60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713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329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411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8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12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71489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3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3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23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12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1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4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06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3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06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8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8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08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0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7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4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1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9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0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56924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6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50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4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15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0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7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30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9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2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051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2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87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0783564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87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5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784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4164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9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7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9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0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73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228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916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08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3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78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05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54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44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52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07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17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16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68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3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0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5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2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659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15461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4256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521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628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49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744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898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18971551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114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125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7701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2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1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74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2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70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49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5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8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13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193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1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8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98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1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737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005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76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296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3716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59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840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21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956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66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98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14507865/4e6461a91c48a6c792223ae385eeb16a/" TargetMode="External"/><Relationship Id="rId13" Type="http://schemas.openxmlformats.org/officeDocument/2006/relationships/hyperlink" Target="https://base.garant.ru/414081703/493aff9450b0b89b29b367693300b74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414507865/" TargetMode="External"/><Relationship Id="rId12" Type="http://schemas.openxmlformats.org/officeDocument/2006/relationships/hyperlink" Target="https://base.garant.ru/414081703/9d78f2e21a0e8d6e5a75ac4e4a93983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14507865/" TargetMode="External"/><Relationship Id="rId11" Type="http://schemas.openxmlformats.org/officeDocument/2006/relationships/hyperlink" Target="https://base.garant.ru/41408173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414081703/9d78f2e21a0e8d6e5a75ac4e4a9398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14310086/" TargetMode="External"/><Relationship Id="rId14" Type="http://schemas.openxmlformats.org/officeDocument/2006/relationships/hyperlink" Target="https://base.garant.ru/414081703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2026-07-21T12:33:00Z</dcterms:created>
  <dcterms:modified xsi:type="dcterms:W3CDTF">2026-07-21T12:34:00Z</dcterms:modified>
</cp:coreProperties>
</file>