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6F" w:rsidRPr="0033656F" w:rsidRDefault="0033656F" w:rsidP="0033656F">
      <w:pPr>
        <w:spacing w:before="220"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56F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33656F" w:rsidRPr="0033656F" w:rsidRDefault="003754CE" w:rsidP="003365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33656F" w:rsidRPr="003754CE">
          <w:rPr>
            <w:rStyle w:val="a4"/>
            <w:rFonts w:ascii="Times New Roman" w:hAnsi="Times New Roman" w:cs="Times New Roman"/>
            <w:b/>
            <w:sz w:val="24"/>
            <w:szCs w:val="24"/>
          </w:rPr>
          <w:t>Письмо Минфина России от 27.05.2026 N 03-03-06/1/44640</w:t>
        </w:r>
      </w:hyperlink>
    </w:p>
    <w:p w:rsidR="0033656F" w:rsidRPr="0033656F" w:rsidRDefault="0033656F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33656F" w:rsidRPr="0033656F" w:rsidRDefault="0033656F" w:rsidP="0033656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56F">
        <w:rPr>
          <w:rFonts w:ascii="Times New Roman" w:hAnsi="Times New Roman" w:cs="Times New Roman"/>
          <w:b/>
          <w:sz w:val="24"/>
          <w:szCs w:val="24"/>
        </w:rPr>
        <w:t>Вопрос:</w:t>
      </w:r>
      <w:r w:rsidRPr="0033656F">
        <w:rPr>
          <w:rFonts w:ascii="Times New Roman" w:hAnsi="Times New Roman" w:cs="Times New Roman"/>
          <w:sz w:val="24"/>
          <w:szCs w:val="24"/>
        </w:rPr>
        <w:t xml:space="preserve"> Об учете в целях налога на прибыль стимулирующих выплат работникам, находящимся в мобилизационном людском резерве, производимых в период нахождения на специальных сборах.</w:t>
      </w:r>
    </w:p>
    <w:p w:rsidR="0033656F" w:rsidRPr="0033656F" w:rsidRDefault="0033656F" w:rsidP="0033656F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33656F" w:rsidRPr="0033656F" w:rsidRDefault="0033656F" w:rsidP="0033656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56F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3754CE" w:rsidRDefault="003754CE" w:rsidP="003754CE">
      <w:pPr>
        <w:pStyle w:val="s1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Департамент налоговой политики, рассмотрев письмо об учете для целей налогообложения прибыли организаций стимулирующих выплат работникам, находящимся в мобилизационном людском резерве, производимых в период выполнения ими государственных обязанностей в связи с направлением на специальные сборы, сообщает.</w:t>
      </w:r>
    </w:p>
    <w:p w:rsidR="003754CE" w:rsidRDefault="003754CE" w:rsidP="003754C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Согласно </w:t>
      </w:r>
      <w:hyperlink r:id="rId7" w:anchor="block_15" w:history="1">
        <w:r>
          <w:rPr>
            <w:rStyle w:val="a4"/>
            <w:color w:val="3272C0"/>
            <w:u w:val="none"/>
          </w:rPr>
          <w:t>статье 15</w:t>
        </w:r>
      </w:hyperlink>
      <w:r>
        <w:rPr>
          <w:color w:val="464C55"/>
        </w:rPr>
        <w:t> Трудового кодекса Российской Федерации трудовыми отношениями являются отношения, основанные на соглашении между работником и работодателем о личном выполнении работником за плату трудовой функции в интересах, под управлением и контролем работодателя, подчинении работника правилам внутреннего трудового распорядка.</w:t>
      </w:r>
    </w:p>
    <w:p w:rsidR="003754CE" w:rsidRDefault="003754CE" w:rsidP="003754C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proofErr w:type="gramStart"/>
      <w:r>
        <w:rPr>
          <w:color w:val="464C55"/>
        </w:rPr>
        <w:t>В соответствии с положениями </w:t>
      </w:r>
      <w:hyperlink r:id="rId8" w:anchor="block_20025" w:history="1">
        <w:r>
          <w:rPr>
            <w:rStyle w:val="a4"/>
            <w:color w:val="3272C0"/>
            <w:u w:val="none"/>
          </w:rPr>
          <w:t>главы 25</w:t>
        </w:r>
      </w:hyperlink>
      <w:r>
        <w:rPr>
          <w:color w:val="464C55"/>
        </w:rPr>
        <w:t> Налогового кодекса Российской Федерации (далее - Кодекс) в расходы налогоплательщика на оплату труда включаются любые начисления работникам в денежной и (или) натуральной формах, стимулирующие начисления и надбавки, компенсационные начисления, связанные с режимом работы или условиями труда, премии и единовременные поощрительные начисления, расходы, связанные с содержанием этих работников, предусмотренные нормами законодательства Российской Федерации, трудовыми договорами (контрактами</w:t>
      </w:r>
      <w:proofErr w:type="gramEnd"/>
      <w:r>
        <w:rPr>
          <w:color w:val="464C55"/>
        </w:rPr>
        <w:t>) и (или) коллективными договорами.</w:t>
      </w:r>
    </w:p>
    <w:p w:rsidR="003754CE" w:rsidRDefault="003754CE" w:rsidP="003754CE">
      <w:pPr>
        <w:pStyle w:val="s1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Таким образом, выплаты, предусмотренные трудовыми договорами (контрактами) и (или) коллективными договорами должны быть обусловлены выполнением работником трудовой функции в интересах, под управлением и контролем работодателя.</w:t>
      </w:r>
    </w:p>
    <w:p w:rsidR="003754CE" w:rsidRDefault="003754CE" w:rsidP="003754C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Согласно </w:t>
      </w:r>
      <w:hyperlink r:id="rId9" w:anchor="block_51202" w:history="1">
        <w:r>
          <w:rPr>
            <w:rStyle w:val="a4"/>
            <w:color w:val="3272C0"/>
            <w:u w:val="none"/>
          </w:rPr>
          <w:t>пункту 2 статьи 51.2</w:t>
        </w:r>
      </w:hyperlink>
      <w:r>
        <w:rPr>
          <w:color w:val="464C55"/>
        </w:rPr>
        <w:t> Федерального закона от 28.03.1998 № 53-ФЗ "О воинской обязанности и военной службе" (далее - Закон № 53-ФЗ) под мобилизационным людским резервом понимаются граждане, пребывающие в запасе и заключившие в установленном порядке контракт о пребывании в мобилизационном людском резерве. Указанный контракт заключается между гражданином и от имени Российской Федерации - Министерством обороны Российской Федерации или иным федеральным органом исполнительной власти, в котором Законом № 53-ФЗ предусмотрена военная служба (</w:t>
      </w:r>
      <w:hyperlink r:id="rId10" w:anchor="block_57201" w:history="1">
        <w:r>
          <w:rPr>
            <w:rStyle w:val="a4"/>
            <w:color w:val="3272C0"/>
            <w:u w:val="none"/>
          </w:rPr>
          <w:t>пункт 1 статьи 57.2</w:t>
        </w:r>
      </w:hyperlink>
      <w:r>
        <w:rPr>
          <w:color w:val="464C55"/>
        </w:rPr>
        <w:t> Закона № 53-ФЗ).</w:t>
      </w:r>
    </w:p>
    <w:p w:rsidR="003754CE" w:rsidRDefault="003754CE" w:rsidP="003754C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hyperlink r:id="rId11" w:anchor="block_57104" w:history="1">
        <w:r>
          <w:rPr>
            <w:rStyle w:val="a4"/>
            <w:color w:val="3272C0"/>
            <w:u w:val="none"/>
          </w:rPr>
          <w:t>Пунктом 4 статьи 57.1</w:t>
        </w:r>
      </w:hyperlink>
      <w:r>
        <w:rPr>
          <w:color w:val="464C55"/>
        </w:rPr>
        <w:t> Закона № 53-ФЗ предусмотрено, что граждане, пребывающие в мобилизационном людском резерве Вооруженных Сил Российской Федерации, могут направляться на специальные сборы для обеспечения защиты критически важных объектов и иных объектов жизнеобеспечения на основании указа Президента Российской Федерации. Порядок проведения специальных сборов утвержден </w:t>
      </w:r>
      <w:hyperlink r:id="rId12" w:history="1">
        <w:r>
          <w:rPr>
            <w:rStyle w:val="a4"/>
            <w:color w:val="3272C0"/>
            <w:u w:val="none"/>
          </w:rPr>
          <w:t>постановлением</w:t>
        </w:r>
      </w:hyperlink>
      <w:r>
        <w:rPr>
          <w:color w:val="464C55"/>
        </w:rPr>
        <w:t xml:space="preserve"> Правительства Российской Федерации от 25.12.2025 № 2127 "Об утверждении Правил проведения специальных сборов граждан Российской Федерации, пребывающих в мобилизационном людском резерве Вооруженных Сил Российской Федерации" (далее - Порядок). Согласно Порядку привлечение резервистов, направленных на специальные сборы, к исполнению иных обязанностей запрещается, а </w:t>
      </w:r>
      <w:r>
        <w:rPr>
          <w:color w:val="464C55"/>
        </w:rPr>
        <w:lastRenderedPageBreak/>
        <w:t>выплаты и возмещения отдельных видов финансового обеспечения в их пользу производятся военными комиссариатами или воинскими частями (</w:t>
      </w:r>
      <w:hyperlink r:id="rId13" w:anchor="block_1010" w:history="1">
        <w:r>
          <w:rPr>
            <w:rStyle w:val="a4"/>
            <w:color w:val="3272C0"/>
            <w:u w:val="none"/>
          </w:rPr>
          <w:t>пункты 10-12</w:t>
        </w:r>
      </w:hyperlink>
      <w:r>
        <w:rPr>
          <w:color w:val="464C55"/>
        </w:rPr>
        <w:t> Порядка).</w:t>
      </w:r>
    </w:p>
    <w:p w:rsidR="003754CE" w:rsidRDefault="003754CE" w:rsidP="003754C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proofErr w:type="gramStart"/>
      <w:r>
        <w:rPr>
          <w:color w:val="464C55"/>
        </w:rPr>
        <w:t>При этом в соответствии с </w:t>
      </w:r>
      <w:hyperlink r:id="rId14" w:anchor="block_2556" w:history="1">
        <w:r>
          <w:rPr>
            <w:rStyle w:val="a4"/>
            <w:color w:val="3272C0"/>
            <w:u w:val="none"/>
          </w:rPr>
          <w:t>пунктом 6 статьи 255</w:t>
        </w:r>
      </w:hyperlink>
      <w:r>
        <w:rPr>
          <w:color w:val="464C55"/>
        </w:rPr>
        <w:t> Налогового кодекса Российской Федерации (далее - Кодекс) к расходам на оплату труда в целях Кодекса относятся, в частности, сумма начисленного работникам среднего заработка, сохраняемого на время выполнения ими государственных и (или) общественных обязанностей и в других случаях, предусмотренных законодательством Российской Федерации о труде.</w:t>
      </w:r>
      <w:proofErr w:type="gramEnd"/>
    </w:p>
    <w:p w:rsidR="003754CE" w:rsidRDefault="003754CE" w:rsidP="003754CE">
      <w:pPr>
        <w:pStyle w:val="s1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proofErr w:type="gramStart"/>
      <w:r>
        <w:rPr>
          <w:color w:val="464C55"/>
        </w:rPr>
        <w:t>Учитывая, что работник в период нахождения на специальных сборах не выполняет трудовую функцию в интересах, под управлением и контролем работодателя, то выплаты работодателя в пользу работника за этот период не могут учитываться в расходах для целей налогообложения прибыли, за исключением выплат, которые работодатель обязан осуществить в соответствии с требованиями законодательства Российской Федерации.</w:t>
      </w:r>
      <w:proofErr w:type="gramEnd"/>
    </w:p>
    <w:p w:rsidR="0033656F" w:rsidRPr="0033656F" w:rsidRDefault="0033656F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33656F" w:rsidRPr="0033656F" w:rsidRDefault="0033656F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3656F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33656F" w:rsidRPr="0033656F" w:rsidRDefault="0033656F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3656F">
        <w:rPr>
          <w:rFonts w:ascii="Times New Roman" w:hAnsi="Times New Roman" w:cs="Times New Roman"/>
          <w:sz w:val="24"/>
          <w:szCs w:val="24"/>
        </w:rPr>
        <w:t>налоговой политики</w:t>
      </w:r>
    </w:p>
    <w:p w:rsidR="0033656F" w:rsidRPr="0033656F" w:rsidRDefault="0033656F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3656F">
        <w:rPr>
          <w:rFonts w:ascii="Times New Roman" w:hAnsi="Times New Roman" w:cs="Times New Roman"/>
          <w:sz w:val="24"/>
          <w:szCs w:val="24"/>
        </w:rPr>
        <w:t>Д.В.ВОЛКОВ</w:t>
      </w:r>
    </w:p>
    <w:p w:rsidR="0033656F" w:rsidRPr="0033656F" w:rsidRDefault="0033656F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  <w:r w:rsidRPr="0033656F">
        <w:rPr>
          <w:rFonts w:ascii="Times New Roman" w:hAnsi="Times New Roman" w:cs="Times New Roman"/>
          <w:sz w:val="24"/>
          <w:szCs w:val="24"/>
        </w:rPr>
        <w:t>27.05.2026</w:t>
      </w:r>
    </w:p>
    <w:p w:rsidR="0033656F" w:rsidRPr="0033656F" w:rsidRDefault="0033656F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3656F" w:rsidRPr="0033656F" w:rsidSect="0006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92F"/>
    <w:multiLevelType w:val="multilevel"/>
    <w:tmpl w:val="06A41C8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30F3"/>
    <w:multiLevelType w:val="multilevel"/>
    <w:tmpl w:val="09DA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E50DF"/>
    <w:multiLevelType w:val="multilevel"/>
    <w:tmpl w:val="8AA8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171A62"/>
    <w:multiLevelType w:val="multilevel"/>
    <w:tmpl w:val="97CC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0365D8"/>
    <w:multiLevelType w:val="multilevel"/>
    <w:tmpl w:val="AB2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5A65569"/>
    <w:multiLevelType w:val="multilevel"/>
    <w:tmpl w:val="DAA0C70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C753D3"/>
    <w:multiLevelType w:val="multilevel"/>
    <w:tmpl w:val="04FA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C8269A"/>
    <w:multiLevelType w:val="multilevel"/>
    <w:tmpl w:val="3D44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F07776"/>
    <w:multiLevelType w:val="multilevel"/>
    <w:tmpl w:val="52A037E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AA5A3D"/>
    <w:multiLevelType w:val="multilevel"/>
    <w:tmpl w:val="2BF6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3F6199"/>
    <w:multiLevelType w:val="multilevel"/>
    <w:tmpl w:val="1128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9503862"/>
    <w:multiLevelType w:val="multilevel"/>
    <w:tmpl w:val="74A6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F8781D"/>
    <w:multiLevelType w:val="multilevel"/>
    <w:tmpl w:val="7C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19"/>
  </w:num>
  <w:num w:numId="5">
    <w:abstractNumId w:val="13"/>
  </w:num>
  <w:num w:numId="6">
    <w:abstractNumId w:val="25"/>
  </w:num>
  <w:num w:numId="7">
    <w:abstractNumId w:val="3"/>
  </w:num>
  <w:num w:numId="8">
    <w:abstractNumId w:val="26"/>
  </w:num>
  <w:num w:numId="9">
    <w:abstractNumId w:val="18"/>
  </w:num>
  <w:num w:numId="10">
    <w:abstractNumId w:val="17"/>
  </w:num>
  <w:num w:numId="11">
    <w:abstractNumId w:val="10"/>
  </w:num>
  <w:num w:numId="12">
    <w:abstractNumId w:val="12"/>
  </w:num>
  <w:num w:numId="13">
    <w:abstractNumId w:val="28"/>
  </w:num>
  <w:num w:numId="14">
    <w:abstractNumId w:val="5"/>
  </w:num>
  <w:num w:numId="15">
    <w:abstractNumId w:val="4"/>
  </w:num>
  <w:num w:numId="16">
    <w:abstractNumId w:val="8"/>
  </w:num>
  <w:num w:numId="17">
    <w:abstractNumId w:val="16"/>
  </w:num>
  <w:num w:numId="18">
    <w:abstractNumId w:val="27"/>
  </w:num>
  <w:num w:numId="19">
    <w:abstractNumId w:val="23"/>
  </w:num>
  <w:num w:numId="20">
    <w:abstractNumId w:val="21"/>
  </w:num>
  <w:num w:numId="21">
    <w:abstractNumId w:val="29"/>
  </w:num>
  <w:num w:numId="22">
    <w:abstractNumId w:val="11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24"/>
  </w:num>
  <w:num w:numId="26">
    <w:abstractNumId w:val="7"/>
  </w:num>
  <w:num w:numId="27">
    <w:abstractNumId w:val="30"/>
  </w:num>
  <w:num w:numId="28">
    <w:abstractNumId w:val="15"/>
  </w:num>
  <w:num w:numId="29">
    <w:abstractNumId w:val="2"/>
  </w:num>
  <w:num w:numId="30">
    <w:abstractNumId w:val="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3656F"/>
    <w:rsid w:val="003754CE"/>
    <w:rsid w:val="003D610C"/>
    <w:rsid w:val="003E5306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22848"/>
    <w:rsid w:val="00742FB9"/>
    <w:rsid w:val="00752FFF"/>
    <w:rsid w:val="007C217B"/>
    <w:rsid w:val="00847224"/>
    <w:rsid w:val="00867D6B"/>
    <w:rsid w:val="0087456A"/>
    <w:rsid w:val="008B42FC"/>
    <w:rsid w:val="008F54BB"/>
    <w:rsid w:val="00A15F2B"/>
    <w:rsid w:val="00A842C2"/>
    <w:rsid w:val="00A9535D"/>
    <w:rsid w:val="00AD1FA0"/>
    <w:rsid w:val="00B415B2"/>
    <w:rsid w:val="00B70054"/>
    <w:rsid w:val="00B710FE"/>
    <w:rsid w:val="00CA0B3A"/>
    <w:rsid w:val="00CA5722"/>
    <w:rsid w:val="00CC0FA2"/>
    <w:rsid w:val="00CC16F0"/>
    <w:rsid w:val="00CC5681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paragraph" w:customStyle="1" w:styleId="s1">
    <w:name w:val="s_1"/>
    <w:basedOn w:val="a"/>
    <w:rsid w:val="00375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paragraph" w:customStyle="1" w:styleId="s1">
    <w:name w:val="s_1"/>
    <w:basedOn w:val="a"/>
    <w:rsid w:val="00375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7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900200/d08b825e386c7297d2bb2329cf0ce611/" TargetMode="External"/><Relationship Id="rId13" Type="http://schemas.openxmlformats.org/officeDocument/2006/relationships/hyperlink" Target="https://base.garant.ru/413395366/520869c45d854c7f667fd699c90ec3b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2125268/36bfb7176e3e8bfebe718035887e4efc/" TargetMode="External"/><Relationship Id="rId12" Type="http://schemas.openxmlformats.org/officeDocument/2006/relationships/hyperlink" Target="https://base.garant.ru/41339536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14448371/" TargetMode="External"/><Relationship Id="rId11" Type="http://schemas.openxmlformats.org/officeDocument/2006/relationships/hyperlink" Target="https://base.garant.ru/178405/281c7adbf0084b071f098b2642f18f77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ase.garant.ru/178405/c7cea15283ae2e321f6ce6b92f3aa1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78405/10ab20c38f70c10fa0ca2419d63cedd6/" TargetMode="External"/><Relationship Id="rId14" Type="http://schemas.openxmlformats.org/officeDocument/2006/relationships/hyperlink" Target="https://base.garant.ru/10900200/b725e7ebe1a9edefbd2b44742d2c3e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2026-07-31T06:39:00Z</dcterms:created>
  <dcterms:modified xsi:type="dcterms:W3CDTF">2026-07-31T06:45:00Z</dcterms:modified>
</cp:coreProperties>
</file>