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6E" w:rsidRPr="00253A6E" w:rsidRDefault="00253A6E" w:rsidP="00253A6E">
      <w:pPr>
        <w:pStyle w:val="a7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3A6E">
        <w:rPr>
          <w:rStyle w:val="a5"/>
          <w:rFonts w:ascii="Times New Roman" w:hAnsi="Times New Roman" w:cs="Times New Roman"/>
          <w:bCs w:val="0"/>
          <w:sz w:val="24"/>
          <w:szCs w:val="24"/>
        </w:rPr>
        <w:t>Министерство труда и социальной защиты Российской Федерации</w:t>
      </w:r>
    </w:p>
    <w:bookmarkStart w:id="0" w:name="_GoBack"/>
    <w:p w:rsidR="00253A6E" w:rsidRPr="00253A6E" w:rsidRDefault="00253A6E" w:rsidP="00253A6E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6E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begin"/>
      </w:r>
      <w:r w:rsidRPr="00253A6E">
        <w:rPr>
          <w:rStyle w:val="a5"/>
          <w:rFonts w:ascii="Times New Roman" w:hAnsi="Times New Roman" w:cs="Times New Roman"/>
          <w:b w:val="0"/>
          <w:sz w:val="24"/>
          <w:szCs w:val="24"/>
        </w:rPr>
        <w:instrText xml:space="preserve"> HYPERLINK "https://base.garant.ru/414340009/" </w:instrText>
      </w:r>
      <w:r w:rsidRPr="00253A6E">
        <w:rPr>
          <w:rStyle w:val="a5"/>
          <w:rFonts w:ascii="Times New Roman" w:hAnsi="Times New Roman" w:cs="Times New Roman"/>
          <w:b w:val="0"/>
          <w:sz w:val="24"/>
          <w:szCs w:val="24"/>
        </w:rPr>
      </w:r>
      <w:r w:rsidRPr="00253A6E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separate"/>
      </w:r>
      <w:r w:rsidRPr="00253A6E">
        <w:rPr>
          <w:rStyle w:val="a4"/>
          <w:rFonts w:ascii="Times New Roman" w:hAnsi="Times New Roman" w:cs="Times New Roman"/>
          <w:b/>
          <w:sz w:val="24"/>
          <w:szCs w:val="24"/>
        </w:rPr>
        <w:t>Письмо Минтруда России от 02.06.2026 N 14-1/ООГ-2290</w:t>
      </w:r>
      <w:r w:rsidRPr="00253A6E">
        <w:rPr>
          <w:rStyle w:val="a5"/>
          <w:rFonts w:ascii="Times New Roman" w:hAnsi="Times New Roman" w:cs="Times New Roman"/>
          <w:b w:val="0"/>
          <w:sz w:val="24"/>
          <w:szCs w:val="24"/>
        </w:rPr>
        <w:fldChar w:fldCharType="end"/>
      </w:r>
    </w:p>
    <w:bookmarkEnd w:id="0"/>
    <w:p w:rsidR="00253A6E" w:rsidRDefault="00253A6E" w:rsidP="00253A6E">
      <w:pPr>
        <w:pStyle w:val="a3"/>
      </w:pPr>
      <w:r>
        <w:rPr>
          <w:rStyle w:val="a5"/>
        </w:rPr>
        <w:t>О порядке исчисления средней заработной платы</w:t>
      </w:r>
    </w:p>
    <w:p w:rsidR="00253A6E" w:rsidRDefault="00253A6E" w:rsidP="00253A6E">
      <w:pPr>
        <w:pStyle w:val="s1"/>
        <w:ind w:firstLine="567"/>
        <w:jc w:val="both"/>
      </w:pPr>
      <w:r>
        <w:rPr>
          <w:rStyle w:val="a5"/>
        </w:rPr>
        <w:t>Департамент оплаты труда, трудовых отношений и социального партнерства Минтруда России рассмотрел обращение, поступившее на </w:t>
      </w:r>
      <w:hyperlink r:id="rId6" w:tgtFrame="_blank" w:history="1">
        <w:r>
          <w:rPr>
            <w:rStyle w:val="a4"/>
            <w:rFonts w:eastAsiaTheme="majorEastAsia"/>
            <w:b/>
            <w:bCs/>
          </w:rPr>
          <w:t>официальный сайт</w:t>
        </w:r>
      </w:hyperlink>
      <w:r>
        <w:rPr>
          <w:rStyle w:val="a5"/>
        </w:rPr>
        <w:t> Министерства труда и социальной защиты Российской Федерации от 26 мая 2026 г., и по компетенции сообщает.</w:t>
      </w:r>
    </w:p>
    <w:p w:rsidR="00253A6E" w:rsidRDefault="00253A6E" w:rsidP="00253A6E">
      <w:pPr>
        <w:pStyle w:val="s1"/>
        <w:ind w:firstLine="567"/>
        <w:jc w:val="both"/>
      </w:pPr>
      <w:proofErr w:type="gramStart"/>
      <w:r>
        <w:t>Единый порядок исчисления среднего заработка для всех случаев, предусмотренных Трудового кодекса</w:t>
      </w:r>
      <w:hyperlink r:id="rId7" w:history="1">
        <w:r>
          <w:rPr>
            <w:rStyle w:val="s9"/>
            <w:rFonts w:eastAsiaTheme="majorEastAsia"/>
            <w:color w:val="0000FF"/>
            <w:u w:val="single"/>
          </w:rPr>
          <w:t>#</w:t>
        </w:r>
      </w:hyperlink>
      <w:r>
        <w:t> Российской Федерации (далее - ТК РФ), установлен </w:t>
      </w:r>
      <w:hyperlink r:id="rId8" w:anchor="block_139" w:history="1">
        <w:r>
          <w:rPr>
            <w:rStyle w:val="a4"/>
            <w:rFonts w:eastAsiaTheme="majorEastAsia"/>
          </w:rPr>
          <w:t>статьей 139</w:t>
        </w:r>
      </w:hyperlink>
      <w:r>
        <w:t> ТК РФ и </w:t>
      </w:r>
      <w:hyperlink r:id="rId9" w:anchor="block_1000" w:history="1">
        <w:r>
          <w:rPr>
            <w:rStyle w:val="a4"/>
            <w:rFonts w:eastAsiaTheme="majorEastAsia"/>
          </w:rPr>
          <w:t>Положением</w:t>
        </w:r>
      </w:hyperlink>
      <w:r>
        <w:t> об особенностях порядка исчисления средней заработной платы, утвержденным </w:t>
      </w:r>
      <w:hyperlink r:id="rId10" w:history="1">
        <w:r>
          <w:rPr>
            <w:rStyle w:val="a4"/>
            <w:rFonts w:eastAsiaTheme="majorEastAsia"/>
          </w:rPr>
          <w:t>постановлением</w:t>
        </w:r>
      </w:hyperlink>
      <w:r>
        <w:t> Правительства Российской Федерации от 24 апреля 2025 г. № 540 (далее - Положение), вступившим в силу с 1 сентября 2025 г.</w:t>
      </w:r>
      <w:proofErr w:type="gramEnd"/>
    </w:p>
    <w:p w:rsidR="00253A6E" w:rsidRDefault="00253A6E" w:rsidP="00253A6E">
      <w:pPr>
        <w:pStyle w:val="s1"/>
        <w:ind w:firstLine="567"/>
        <w:jc w:val="both"/>
      </w:pPr>
      <w:r>
        <w:t>Порядок исчисления среднего заработка, вступивший в силу с 1 сентября 2025 г., не устанавливает новых правил расчета, а сохраняет действовавший в соответствии с </w:t>
      </w:r>
      <w:hyperlink r:id="rId11" w:anchor="block_1000" w:history="1">
        <w:r>
          <w:rPr>
            <w:rStyle w:val="a4"/>
            <w:rFonts w:eastAsiaTheme="majorEastAsia"/>
          </w:rPr>
          <w:t>постановлением</w:t>
        </w:r>
      </w:hyperlink>
      <w:r>
        <w:t> Правительства Российской Федерации от 24 декабря 2007 г. № 922 подход с незначительными редакционными уточнениями формулировок.</w:t>
      </w:r>
    </w:p>
    <w:p w:rsidR="00253A6E" w:rsidRDefault="00253A6E" w:rsidP="00253A6E">
      <w:pPr>
        <w:pStyle w:val="s1"/>
        <w:ind w:firstLine="567"/>
        <w:jc w:val="both"/>
      </w:pPr>
      <w:r>
        <w:t>Согласно </w:t>
      </w:r>
      <w:hyperlink r:id="rId12" w:anchor="block_178" w:history="1">
        <w:r>
          <w:rPr>
            <w:rStyle w:val="a4"/>
            <w:rFonts w:eastAsiaTheme="majorEastAsia"/>
          </w:rPr>
          <w:t>статье 178</w:t>
        </w:r>
      </w:hyperlink>
      <w:r>
        <w:t> ТК РФ при расторжении трудового договора в связи с ликвидацией организации (</w:t>
      </w:r>
      <w:hyperlink r:id="rId13" w:anchor="block_811" w:history="1">
        <w:r>
          <w:rPr>
            <w:rStyle w:val="a4"/>
            <w:rFonts w:eastAsiaTheme="majorEastAsia"/>
          </w:rPr>
          <w:t>пункт 1 части первой статьи 81</w:t>
        </w:r>
      </w:hyperlink>
      <w:r>
        <w:t> ТК РФ) либо сокращением численности или штата работников организации (</w:t>
      </w:r>
      <w:hyperlink r:id="rId14" w:anchor="block_812" w:history="1">
        <w:r>
          <w:rPr>
            <w:rStyle w:val="a4"/>
            <w:rFonts w:eastAsiaTheme="majorEastAsia"/>
          </w:rPr>
          <w:t>пункт 2 части первой статьи 81</w:t>
        </w:r>
      </w:hyperlink>
      <w:r>
        <w:t> ТК РФ) увольняемому работнику выплачивается выходное пособие в размере среднего месячного заработка.</w:t>
      </w:r>
    </w:p>
    <w:p w:rsidR="00253A6E" w:rsidRDefault="00253A6E" w:rsidP="00253A6E">
      <w:pPr>
        <w:pStyle w:val="s1"/>
        <w:ind w:firstLine="567"/>
        <w:jc w:val="both"/>
      </w:pPr>
      <w:r>
        <w:t>Таким образом, законодательная норма не предполагает конкретизацию месяца, за который следует проводить расчет среднего месячного заработка. Следовательно, количество нерабочих праздничных дней в месяце, следующим за увольнением работника не влияет на размер его выходного пособия.</w:t>
      </w:r>
    </w:p>
    <w:p w:rsidR="00253A6E" w:rsidRDefault="00253A6E" w:rsidP="00253A6E">
      <w:pPr>
        <w:pStyle w:val="s1"/>
        <w:ind w:firstLine="567"/>
        <w:jc w:val="both"/>
      </w:pPr>
      <w:r>
        <w:t>Как отметил Конституционный Суд Российской Федерации в </w:t>
      </w:r>
      <w:hyperlink r:id="rId15" w:history="1">
        <w:r>
          <w:rPr>
            <w:rStyle w:val="a4"/>
            <w:rFonts w:eastAsiaTheme="majorEastAsia"/>
          </w:rPr>
          <w:t>постановлении</w:t>
        </w:r>
      </w:hyperlink>
      <w:r>
        <w:t> от 13 ноября 2019 г. № 34-П, из буквального смысла данной нормы следует, что каждому работнику, увольняемому по названным в ней основаниям, наряду с оплатой труда (расчетом при увольнении) гарантируется получение выходного пособия в размере среднего месячного заработка.</w:t>
      </w:r>
    </w:p>
    <w:p w:rsidR="00253A6E" w:rsidRDefault="00253A6E" w:rsidP="00253A6E">
      <w:pPr>
        <w:pStyle w:val="s1"/>
        <w:ind w:firstLine="567"/>
        <w:jc w:val="both"/>
      </w:pPr>
      <w:proofErr w:type="gramStart"/>
      <w:r>
        <w:t>Размер данной выплаты зависит от ранее полученных работником в качестве оплаты его труда денежных сумм; она призвана обеспечить уволенному лицу средства к существованию в размере не меньшем, чем средний месячный заработок, исчисленный исходя из его заработной платы за 12 календарных месяцев, предшествовавших увольнению.</w:t>
      </w:r>
      <w:proofErr w:type="gramEnd"/>
    </w:p>
    <w:p w:rsidR="00253A6E" w:rsidRDefault="00253A6E" w:rsidP="00253A6E">
      <w:pPr>
        <w:pStyle w:val="s1"/>
        <w:ind w:firstLine="567"/>
        <w:jc w:val="both"/>
      </w:pPr>
      <w:r>
        <w:t xml:space="preserve">Соответственно, размер выходного </w:t>
      </w:r>
      <w:proofErr w:type="gramStart"/>
      <w:r>
        <w:t>пособия</w:t>
      </w:r>
      <w:proofErr w:type="gramEnd"/>
      <w:r>
        <w:t xml:space="preserve"> не может зависеть от </w:t>
      </w:r>
      <w:proofErr w:type="gramStart"/>
      <w:r>
        <w:t>каких</w:t>
      </w:r>
      <w:proofErr w:type="gramEnd"/>
      <w:r>
        <w:t xml:space="preserve"> бы то ни было обстоятельств, имевших место после увольнения работника.</w:t>
      </w:r>
    </w:p>
    <w:p w:rsidR="00253A6E" w:rsidRDefault="00253A6E" w:rsidP="00253A6E">
      <w:pPr>
        <w:pStyle w:val="s1"/>
        <w:ind w:firstLine="567"/>
        <w:jc w:val="both"/>
      </w:pPr>
      <w:r>
        <w:t>Количество нерабочих праздничных дней в месяце, следующим за увольнением работника не влияет на размер его выходного пособия.</w:t>
      </w:r>
    </w:p>
    <w:p w:rsidR="00253A6E" w:rsidRDefault="00253A6E" w:rsidP="00253A6E">
      <w:pPr>
        <w:pStyle w:val="s1"/>
        <w:ind w:firstLine="567"/>
        <w:jc w:val="both"/>
      </w:pPr>
      <w:r>
        <w:lastRenderedPageBreak/>
        <w:t>В соответствии с </w:t>
      </w:r>
      <w:hyperlink r:id="rId16" w:anchor="block_1392" w:history="1">
        <w:r>
          <w:rPr>
            <w:rStyle w:val="a4"/>
            <w:rFonts w:eastAsiaTheme="majorEastAsia"/>
          </w:rPr>
          <w:t>частью 2 статьи 139</w:t>
        </w:r>
      </w:hyperlink>
      <w:r>
        <w:t> ТК РФ для расчета среднего заработка учитываются все предусмотренные системой оплаты труда виды выплат, применяемые у соответствующего работодателя, независимо от источников этих выплат.</w:t>
      </w:r>
    </w:p>
    <w:p w:rsidR="00253A6E" w:rsidRDefault="00253A6E" w:rsidP="00253A6E">
      <w:pPr>
        <w:pStyle w:val="s1"/>
        <w:ind w:firstLine="567"/>
        <w:jc w:val="both"/>
      </w:pPr>
      <w:r>
        <w:t>Согласно </w:t>
      </w:r>
      <w:hyperlink r:id="rId17" w:anchor="block_1393" w:history="1">
        <w:r>
          <w:rPr>
            <w:rStyle w:val="a4"/>
            <w:rFonts w:eastAsiaTheme="majorEastAsia"/>
          </w:rPr>
          <w:t>части 3 статьи 139</w:t>
        </w:r>
      </w:hyperlink>
      <w:r>
        <w:t> ТК РФ и </w:t>
      </w:r>
      <w:hyperlink r:id="rId18" w:anchor="block_1004" w:history="1">
        <w:r>
          <w:rPr>
            <w:rStyle w:val="a4"/>
            <w:rFonts w:eastAsiaTheme="majorEastAsia"/>
          </w:rPr>
          <w:t>пункту 4</w:t>
        </w:r>
      </w:hyperlink>
      <w:r>
        <w:t> Положения 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1-го по 30-е (31-е) число соответствующего месяца включительно (в феврале - по 28-е (29-е) число включительно).</w:t>
      </w:r>
    </w:p>
    <w:p w:rsidR="00253A6E" w:rsidRDefault="00253A6E" w:rsidP="00253A6E">
      <w:pPr>
        <w:pStyle w:val="s1"/>
        <w:ind w:firstLine="567"/>
        <w:jc w:val="both"/>
      </w:pPr>
      <w:r>
        <w:t>В соответствии с </w:t>
      </w:r>
      <w:hyperlink r:id="rId19" w:anchor="block_1095" w:history="1">
        <w:r>
          <w:rPr>
            <w:rStyle w:val="a4"/>
            <w:rFonts w:eastAsiaTheme="majorEastAsia"/>
          </w:rPr>
          <w:t>абзацем 5 пункта 9</w:t>
        </w:r>
      </w:hyperlink>
      <w:r>
        <w:t> Положения средний месячный заработок для расчета выходного пособия определяется путем умножения среднего дневного заработка на среднее количество рабочих дней, приходящихся на один месяц в году.</w:t>
      </w:r>
    </w:p>
    <w:p w:rsidR="00253A6E" w:rsidRDefault="00253A6E" w:rsidP="00253A6E">
      <w:pPr>
        <w:pStyle w:val="s1"/>
        <w:ind w:firstLine="567"/>
        <w:jc w:val="both"/>
      </w:pPr>
      <w:r>
        <w:t>В соответствии с </w:t>
      </w:r>
      <w:hyperlink r:id="rId20" w:anchor="block_10134" w:history="1">
        <w:r>
          <w:rPr>
            <w:rStyle w:val="a4"/>
            <w:rFonts w:eastAsiaTheme="majorEastAsia"/>
          </w:rPr>
          <w:t>абзацем 4 пункта 13</w:t>
        </w:r>
      </w:hyperlink>
      <w:r>
        <w:t> Положения средний месячный заработок для расчета выходного пособия работника, которому установлен суммированный учет рабочего времени, определяется путем умножения среднего часового заработка на среднее количество рабочих часов, приходящихся на один месяц в году. В соответствии с </w:t>
      </w:r>
      <w:hyperlink r:id="rId21" w:anchor="block_10135" w:history="1">
        <w:r>
          <w:rPr>
            <w:rStyle w:val="a4"/>
            <w:rFonts w:eastAsiaTheme="majorEastAsia"/>
          </w:rPr>
          <w:t>абзацем 5 пункта 13</w:t>
        </w:r>
      </w:hyperlink>
      <w:r>
        <w:t> Положения среднее количество рабочих часов, приходящихся на один месяц в году, рассчитывается путем деления количества рабочих часов в году, рассчитанного в соответствии с установленной для соответствующего работника продолжительностью рабочего времени, на 12.</w:t>
      </w:r>
    </w:p>
    <w:p w:rsidR="00253A6E" w:rsidRDefault="00253A6E" w:rsidP="00253A6E">
      <w:pPr>
        <w:pStyle w:val="s1"/>
        <w:ind w:firstLine="567"/>
        <w:jc w:val="both"/>
      </w:pPr>
      <w:r>
        <w:t>Таким образом, при исчислении среднего заработка для расчета выходного пособия среднее количество рабочих дней (часов), приходящихся на один месяц в году, рассчитывается путем деления количества рабочих дней (часов) в календарном году, в котором происходит увольнение (период с 1 января по 31 декабря), на 12.</w:t>
      </w:r>
    </w:p>
    <w:p w:rsidR="00253A6E" w:rsidRDefault="00253A6E" w:rsidP="00253A6E">
      <w:pPr>
        <w:pStyle w:val="s1"/>
        <w:ind w:firstLine="567"/>
        <w:jc w:val="both"/>
      </w:pPr>
      <w:r>
        <w:t>Порядок расчета, предусмотренный </w:t>
      </w:r>
      <w:hyperlink r:id="rId22" w:anchor="block_1095" w:history="1">
        <w:r>
          <w:rPr>
            <w:rStyle w:val="a4"/>
            <w:rFonts w:eastAsiaTheme="majorEastAsia"/>
          </w:rPr>
          <w:t>абзацем пятым пункта 9</w:t>
        </w:r>
      </w:hyperlink>
      <w:r>
        <w:t> Положения (для суммированного учета - </w:t>
      </w:r>
      <w:hyperlink r:id="rId23" w:anchor="block_10134" w:history="1">
        <w:r>
          <w:rPr>
            <w:rStyle w:val="a4"/>
            <w:rFonts w:eastAsiaTheme="majorEastAsia"/>
          </w:rPr>
          <w:t>абзацем 4 пункта 13</w:t>
        </w:r>
      </w:hyperlink>
      <w:r>
        <w:t> Положения), применяется для определения размера всех выплат, поименованных в </w:t>
      </w:r>
      <w:hyperlink r:id="rId24" w:anchor="block_178" w:history="1">
        <w:r>
          <w:rPr>
            <w:rStyle w:val="a4"/>
            <w:rFonts w:eastAsiaTheme="majorEastAsia"/>
          </w:rPr>
          <w:t>статье 178</w:t>
        </w:r>
      </w:hyperlink>
      <w:r>
        <w:t> ТК РФ.</w:t>
      </w:r>
    </w:p>
    <w:p w:rsidR="00253A6E" w:rsidRDefault="00253A6E" w:rsidP="00253A6E">
      <w:pPr>
        <w:pStyle w:val="s1"/>
        <w:ind w:firstLine="567"/>
        <w:jc w:val="both"/>
      </w:pPr>
      <w:r>
        <w:t>Полученное в результате расчета среднее количество рабочих дней (часов), приходящихся на один месяц в году, округляется по правилам математического счета.</w:t>
      </w:r>
    </w:p>
    <w:p w:rsidR="00253A6E" w:rsidRDefault="00253A6E" w:rsidP="00253A6E">
      <w:pPr>
        <w:pStyle w:val="s1"/>
        <w:ind w:firstLine="567"/>
        <w:jc w:val="both"/>
      </w:pPr>
      <w:r>
        <w:t>Размер среднего заработка за часть месяца рассчитывается пропорционально размеру среднего месячного заработка, определяемого в соответствии с перечисленными пунктами </w:t>
      </w:r>
      <w:hyperlink r:id="rId25" w:anchor="block_1000" w:history="1">
        <w:r>
          <w:rPr>
            <w:rStyle w:val="a4"/>
            <w:rFonts w:eastAsiaTheme="majorEastAsia"/>
          </w:rPr>
          <w:t>Положения</w:t>
        </w:r>
      </w:hyperlink>
      <w:r>
        <w:t>.</w:t>
      </w:r>
    </w:p>
    <w:p w:rsidR="00253A6E" w:rsidRDefault="00253A6E" w:rsidP="00253A6E">
      <w:pPr>
        <w:pStyle w:val="s1"/>
        <w:ind w:firstLine="567"/>
        <w:jc w:val="both"/>
      </w:pPr>
      <w:r>
        <w:t>Одновременно сообщаем, что Минтруд России дает разъяснения по вопросам оплаты труда в соответствии с трудовым законодательством. При этом предоставление указанных разъяснений не предполагает оценку расчетов, предлагаемых в письме.</w:t>
      </w:r>
    </w:p>
    <w:p w:rsidR="00253A6E" w:rsidRDefault="00253A6E" w:rsidP="00253A6E">
      <w:pPr>
        <w:pStyle w:val="empty"/>
        <w:jc w:val="right"/>
      </w:pPr>
      <w:r>
        <w:rPr>
          <w:rStyle w:val="a5"/>
        </w:rPr>
        <w:t>Заместитель Директора Департамента</w:t>
      </w:r>
      <w:r>
        <w:br/>
      </w:r>
      <w:r>
        <w:rPr>
          <w:rStyle w:val="a5"/>
        </w:rPr>
        <w:t>оплаты труда, трудовых отношений и</w:t>
      </w:r>
      <w:r>
        <w:br/>
      </w:r>
      <w:r>
        <w:rPr>
          <w:rStyle w:val="a5"/>
        </w:rPr>
        <w:t>социального партнерства</w:t>
      </w:r>
      <w:r>
        <w:br/>
      </w:r>
      <w:r>
        <w:rPr>
          <w:rStyle w:val="a5"/>
        </w:rPr>
        <w:t>А.В. Фролова</w:t>
      </w:r>
    </w:p>
    <w:p w:rsidR="00F87B30" w:rsidRPr="00CC5681" w:rsidRDefault="00F87B30" w:rsidP="00CC5681">
      <w:r w:rsidRPr="00CC5681">
        <w:t xml:space="preserve"> </w:t>
      </w:r>
    </w:p>
    <w:sectPr w:rsidR="00F87B30" w:rsidRPr="00CC5681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53A6E"/>
    <w:rsid w:val="002B07E6"/>
    <w:rsid w:val="002D7D9A"/>
    <w:rsid w:val="00310DB7"/>
    <w:rsid w:val="00441D66"/>
    <w:rsid w:val="005005D7"/>
    <w:rsid w:val="00587BCD"/>
    <w:rsid w:val="00622EF4"/>
    <w:rsid w:val="0062333D"/>
    <w:rsid w:val="006F710E"/>
    <w:rsid w:val="00752FFF"/>
    <w:rsid w:val="00847224"/>
    <w:rsid w:val="008F54BB"/>
    <w:rsid w:val="00B70054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paragraph" w:customStyle="1" w:styleId="s1">
    <w:name w:val="s_1"/>
    <w:basedOn w:val="a"/>
    <w:rsid w:val="0025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253A6E"/>
  </w:style>
  <w:style w:type="paragraph" w:customStyle="1" w:styleId="empty">
    <w:name w:val="empty"/>
    <w:basedOn w:val="a"/>
    <w:rsid w:val="0025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paragraph" w:customStyle="1" w:styleId="s1">
    <w:name w:val="s_1"/>
    <w:basedOn w:val="a"/>
    <w:rsid w:val="0025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253A6E"/>
  </w:style>
  <w:style w:type="paragraph" w:customStyle="1" w:styleId="empty">
    <w:name w:val="empty"/>
    <w:basedOn w:val="a"/>
    <w:rsid w:val="0025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268/c11465d9cdd9cd41f225c2e996875142/" TargetMode="External"/><Relationship Id="rId13" Type="http://schemas.openxmlformats.org/officeDocument/2006/relationships/hyperlink" Target="https://base.garant.ru/12125268/646cd7e8cf19279b078cdec8fcd89ce4/" TargetMode="External"/><Relationship Id="rId18" Type="http://schemas.openxmlformats.org/officeDocument/2006/relationships/hyperlink" Target="https://base.garant.ru/411933396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411933396/" TargetMode="External"/><Relationship Id="rId7" Type="http://schemas.openxmlformats.org/officeDocument/2006/relationships/hyperlink" Target="https://base.garant.ru/3100000/" TargetMode="External"/><Relationship Id="rId12" Type="http://schemas.openxmlformats.org/officeDocument/2006/relationships/hyperlink" Target="https://base.garant.ru/12125268/bfa52a937b73062ff378b34b8e8d7fcf/" TargetMode="External"/><Relationship Id="rId17" Type="http://schemas.openxmlformats.org/officeDocument/2006/relationships/hyperlink" Target="https://base.garant.ru/12125268/c11465d9cdd9cd41f225c2e996875142/" TargetMode="External"/><Relationship Id="rId25" Type="http://schemas.openxmlformats.org/officeDocument/2006/relationships/hyperlink" Target="https://base.garant.ru/41193339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12125268/c11465d9cdd9cd41f225c2e996875142/" TargetMode="External"/><Relationship Id="rId20" Type="http://schemas.openxmlformats.org/officeDocument/2006/relationships/hyperlink" Target="https://base.garant.ru/41193339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trud.gov.ru/" TargetMode="External"/><Relationship Id="rId11" Type="http://schemas.openxmlformats.org/officeDocument/2006/relationships/hyperlink" Target="https://base.garant.ru/12158040/bf1b34325e66658fe89a284c1280ad3b/" TargetMode="External"/><Relationship Id="rId24" Type="http://schemas.openxmlformats.org/officeDocument/2006/relationships/hyperlink" Target="https://base.garant.ru/12125268/bfa52a937b73062ff378b34b8e8d7fc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2994212/" TargetMode="External"/><Relationship Id="rId23" Type="http://schemas.openxmlformats.org/officeDocument/2006/relationships/hyperlink" Target="https://base.garant.ru/411933396/" TargetMode="External"/><Relationship Id="rId10" Type="http://schemas.openxmlformats.org/officeDocument/2006/relationships/hyperlink" Target="https://base.garant.ru/411933396/" TargetMode="External"/><Relationship Id="rId19" Type="http://schemas.openxmlformats.org/officeDocument/2006/relationships/hyperlink" Target="https://base.garant.ru/4119333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11933396/" TargetMode="External"/><Relationship Id="rId14" Type="http://schemas.openxmlformats.org/officeDocument/2006/relationships/hyperlink" Target="https://base.garant.ru/12125268/646cd7e8cf19279b078cdec8fcd89ce4/" TargetMode="External"/><Relationship Id="rId22" Type="http://schemas.openxmlformats.org/officeDocument/2006/relationships/hyperlink" Target="https://base.garant.ru/411933396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2026-07-03T13:11:00Z</dcterms:created>
  <dcterms:modified xsi:type="dcterms:W3CDTF">2026-07-03T13:11:00Z</dcterms:modified>
</cp:coreProperties>
</file>