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B8F" w:rsidRPr="00DC7B8F" w:rsidRDefault="00DC7B8F" w:rsidP="00DC7B8F">
      <w:pPr>
        <w:pStyle w:val="a7"/>
        <w:spacing w:line="360" w:lineRule="auto"/>
        <w:jc w:val="center"/>
        <w:rPr>
          <w:rFonts w:ascii="Times New Roman" w:hAnsi="Times New Roman" w:cs="Times New Roman"/>
          <w:b/>
          <w:sz w:val="24"/>
          <w:szCs w:val="24"/>
          <w:lang w:eastAsia="ru-RU"/>
        </w:rPr>
      </w:pPr>
      <w:r w:rsidRPr="00DC7B8F">
        <w:rPr>
          <w:rFonts w:ascii="Times New Roman" w:hAnsi="Times New Roman" w:cs="Times New Roman"/>
          <w:b/>
          <w:sz w:val="24"/>
          <w:szCs w:val="24"/>
          <w:lang w:eastAsia="ru-RU"/>
        </w:rPr>
        <w:t>АРБИТРАЖНЫЙ СУД СЕВЕРО-ЗАПАДНОГО ОКРУГА</w:t>
      </w:r>
    </w:p>
    <w:bookmarkStart w:id="0" w:name="_GoBack"/>
    <w:p w:rsidR="00DC7B8F" w:rsidRPr="00DC7B8F" w:rsidRDefault="00DC7B8F" w:rsidP="00DC7B8F">
      <w:pPr>
        <w:pStyle w:val="a7"/>
        <w:spacing w:line="360" w:lineRule="auto"/>
        <w:jc w:val="center"/>
        <w:rPr>
          <w:rFonts w:ascii="Times New Roman" w:hAnsi="Times New Roman" w:cs="Times New Roman"/>
          <w:b/>
          <w:sz w:val="24"/>
          <w:szCs w:val="24"/>
          <w:lang w:eastAsia="ru-RU"/>
        </w:rPr>
      </w:pPr>
      <w:r w:rsidRPr="00DC7B8F">
        <w:rPr>
          <w:rFonts w:ascii="Times New Roman" w:hAnsi="Times New Roman" w:cs="Times New Roman"/>
          <w:b/>
          <w:sz w:val="24"/>
          <w:szCs w:val="24"/>
          <w:lang w:eastAsia="ru-RU"/>
        </w:rPr>
        <w:fldChar w:fldCharType="begin"/>
      </w:r>
      <w:r w:rsidRPr="00DC7B8F">
        <w:rPr>
          <w:rFonts w:ascii="Times New Roman" w:hAnsi="Times New Roman" w:cs="Times New Roman"/>
          <w:b/>
          <w:sz w:val="24"/>
          <w:szCs w:val="24"/>
          <w:lang w:eastAsia="ru-RU"/>
        </w:rPr>
        <w:instrText xml:space="preserve"> HYPERLINK "https://www.consultant.ru/cons/cgi/online.cgi?req=doc&amp;base=ASZ&amp;n=326882&amp;cacheid=964BEC0E0990D50A7D8A1884732E9429&amp;mode=splus&amp;rnd=Yw5HkQVQu7b9egY41" \l "pNZOkQVAfCUTGOIM1" </w:instrText>
      </w:r>
      <w:r w:rsidRPr="00DC7B8F">
        <w:rPr>
          <w:rFonts w:ascii="Times New Roman" w:hAnsi="Times New Roman" w:cs="Times New Roman"/>
          <w:b/>
          <w:sz w:val="24"/>
          <w:szCs w:val="24"/>
          <w:lang w:eastAsia="ru-RU"/>
        </w:rPr>
        <w:fldChar w:fldCharType="separate"/>
      </w:r>
      <w:r w:rsidRPr="00DC7B8F">
        <w:rPr>
          <w:rFonts w:ascii="Times New Roman" w:hAnsi="Times New Roman" w:cs="Times New Roman"/>
          <w:b/>
          <w:color w:val="0000FF"/>
          <w:sz w:val="24"/>
          <w:szCs w:val="24"/>
          <w:u w:val="single"/>
          <w:lang w:eastAsia="ru-RU"/>
        </w:rPr>
        <w:t>Постановление АС Северо-Западного округа от 20.07.2026 по делу N А56-72874/2025</w:t>
      </w:r>
      <w:r w:rsidRPr="00DC7B8F">
        <w:rPr>
          <w:rFonts w:ascii="Times New Roman" w:hAnsi="Times New Roman" w:cs="Times New Roman"/>
          <w:b/>
          <w:sz w:val="24"/>
          <w:szCs w:val="24"/>
          <w:lang w:eastAsia="ru-RU"/>
        </w:rPr>
        <w:fldChar w:fldCharType="end"/>
      </w:r>
    </w:p>
    <w:bookmarkEnd w:id="0"/>
    <w:p w:rsidR="00DC7B8F" w:rsidRPr="00DC7B8F" w:rsidRDefault="00DC7B8F" w:rsidP="00DC7B8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i/>
          <w:iCs/>
          <w:sz w:val="24"/>
          <w:szCs w:val="24"/>
          <w:lang w:eastAsia="ru-RU"/>
        </w:rPr>
        <w:t>Арбитражный суд Северо-Западного округа в составе судьи Елагиной О.К., рассмотрев 20.07.2026 без проведения судебного заседания и вызова лиц, участвующих в деле, кассационную жалобу Государственного казенного учреждения здравоохранения Ленинградской области Бюро судебно-медицинской экспертизы на решение Арбитражного суда города Санкт-Петербурга и Ленинградской области от 28.10.2025 и постановление Тринадцатого арбитражного апелляционного суда от 16.02.2026 по делу N А56-72874/2025, установил:</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 xml:space="preserve">Государственное казенное учреждение здравоохранения Ленинградской области Бюро судебно-медицинской экспертизы, адрес: 188300, Ленинградская область, город Гатчина, </w:t>
      </w:r>
      <w:proofErr w:type="spellStart"/>
      <w:r w:rsidRPr="00DC7B8F">
        <w:rPr>
          <w:rFonts w:ascii="Times New Roman" w:eastAsia="Times New Roman" w:hAnsi="Times New Roman" w:cs="Times New Roman"/>
          <w:sz w:val="24"/>
          <w:szCs w:val="24"/>
          <w:lang w:eastAsia="ru-RU"/>
        </w:rPr>
        <w:t>Рощинская</w:t>
      </w:r>
      <w:proofErr w:type="spellEnd"/>
      <w:r w:rsidRPr="00DC7B8F">
        <w:rPr>
          <w:rFonts w:ascii="Times New Roman" w:eastAsia="Times New Roman" w:hAnsi="Times New Roman" w:cs="Times New Roman"/>
          <w:sz w:val="24"/>
          <w:szCs w:val="24"/>
          <w:lang w:eastAsia="ru-RU"/>
        </w:rPr>
        <w:t xml:space="preserve"> улица, дом 15А, корпус 8, помещение 2, ОГРН 102781339072, ИНН 7809018808 (далее - Учреждение), обратилось в Арбитражный суд города Санкт-Петербурга и Ленинградской области с иском к обществу с ограниченной ответственностью "Арка", адрес: 195279, Санкт-Петербург, улица Передовиков, дом 37, литера</w:t>
      </w:r>
      <w:proofErr w:type="gramStart"/>
      <w:r w:rsidRPr="00DC7B8F">
        <w:rPr>
          <w:rFonts w:ascii="Times New Roman" w:eastAsia="Times New Roman" w:hAnsi="Times New Roman" w:cs="Times New Roman"/>
          <w:sz w:val="24"/>
          <w:szCs w:val="24"/>
          <w:lang w:eastAsia="ru-RU"/>
        </w:rPr>
        <w:t xml:space="preserve"> А</w:t>
      </w:r>
      <w:proofErr w:type="gramEnd"/>
      <w:r w:rsidRPr="00DC7B8F">
        <w:rPr>
          <w:rFonts w:ascii="Times New Roman" w:eastAsia="Times New Roman" w:hAnsi="Times New Roman" w:cs="Times New Roman"/>
          <w:sz w:val="24"/>
          <w:szCs w:val="24"/>
          <w:lang w:eastAsia="ru-RU"/>
        </w:rPr>
        <w:t>, квартира 332, ОГРН 1227800059970, ИНН 7806598325 (далее - Общество), о взыскании 139 852 руб. неосновательного обогащения по государственному контракту от 06.07.2022 N А-115/22, 29 876 руб. 12 коп</w:t>
      </w:r>
      <w:proofErr w:type="gramStart"/>
      <w:r w:rsidRPr="00DC7B8F">
        <w:rPr>
          <w:rFonts w:ascii="Times New Roman" w:eastAsia="Times New Roman" w:hAnsi="Times New Roman" w:cs="Times New Roman"/>
          <w:sz w:val="24"/>
          <w:szCs w:val="24"/>
          <w:lang w:eastAsia="ru-RU"/>
        </w:rPr>
        <w:t>.</w:t>
      </w:r>
      <w:proofErr w:type="gramEnd"/>
      <w:r w:rsidRPr="00DC7B8F">
        <w:rPr>
          <w:rFonts w:ascii="Times New Roman" w:eastAsia="Times New Roman" w:hAnsi="Times New Roman" w:cs="Times New Roman"/>
          <w:sz w:val="24"/>
          <w:szCs w:val="24"/>
          <w:lang w:eastAsia="ru-RU"/>
        </w:rPr>
        <w:t xml:space="preserve"> </w:t>
      </w:r>
      <w:proofErr w:type="gramStart"/>
      <w:r w:rsidRPr="00DC7B8F">
        <w:rPr>
          <w:rFonts w:ascii="Times New Roman" w:eastAsia="Times New Roman" w:hAnsi="Times New Roman" w:cs="Times New Roman"/>
          <w:sz w:val="24"/>
          <w:szCs w:val="24"/>
          <w:lang w:eastAsia="ru-RU"/>
        </w:rPr>
        <w:t>п</w:t>
      </w:r>
      <w:proofErr w:type="gramEnd"/>
      <w:r w:rsidRPr="00DC7B8F">
        <w:rPr>
          <w:rFonts w:ascii="Times New Roman" w:eastAsia="Times New Roman" w:hAnsi="Times New Roman" w:cs="Times New Roman"/>
          <w:sz w:val="24"/>
          <w:szCs w:val="24"/>
          <w:lang w:eastAsia="ru-RU"/>
        </w:rPr>
        <w:t>роцентов за пользование чужими денежными средствами за период с 02.07.2024 по 28.07.2025, а также процентов за пользование чужими денежными средствами, начисленных на основании статьи 395 Гражданского кодекса Российской Федерации (далее - ГК РФ) на сумму неосновательного обогащения за период с 29.07.2025 по дату фактического возврата неосновательного обогащения.</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Арбитражный суд города Санкт-Петербурга и Ленинградской области в соответствии со статьей 227 Арбитражного процессуального кодекса Российской Федерации (далее - АПК РФ) рассмотрел дело в порядке упрощенного производства и решением, вынесенным в виде резолютивной части от 05.10.2025, в удовлетворении исковых требований отказал.</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Мотивированное решение изготовлено 28.10.2025.</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Постановлением Тринадцатого арбитражного апелляционного суда от 16.02.2026 решение суда от 28.10.2025 оставлено без изменения.</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Оспаривая законность вынесенных судами первой и апелляционной инстанций судебных актов, Учреждение обратилось в Арбитражный суд Северо-Западного округа с кассационной жалобой, в которой, ссылаясь на несоответствие выводов, изложенных в обжалуемых судебных актах, фактическим обстоятельствам дела, а также на неправильное применение судами норм материального и процессуального права, просит решение от 28.10.2025 и постановление от 16.02.2026 отменить, принять по делу новый судебный акт.</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 xml:space="preserve">В обоснование доводов кассационной жалобы ее податель указал, что в результате контрольных мероприятий выявлено завышение объемов работ и </w:t>
      </w:r>
      <w:proofErr w:type="spellStart"/>
      <w:r w:rsidRPr="00DC7B8F">
        <w:rPr>
          <w:rFonts w:ascii="Times New Roman" w:eastAsia="Times New Roman" w:hAnsi="Times New Roman" w:cs="Times New Roman"/>
          <w:sz w:val="24"/>
          <w:szCs w:val="24"/>
          <w:lang w:eastAsia="ru-RU"/>
        </w:rPr>
        <w:t>задвоение</w:t>
      </w:r>
      <w:proofErr w:type="spellEnd"/>
      <w:r w:rsidRPr="00DC7B8F">
        <w:rPr>
          <w:rFonts w:ascii="Times New Roman" w:eastAsia="Times New Roman" w:hAnsi="Times New Roman" w:cs="Times New Roman"/>
          <w:sz w:val="24"/>
          <w:szCs w:val="24"/>
          <w:lang w:eastAsia="ru-RU"/>
        </w:rPr>
        <w:t xml:space="preserve"> объемов материала, что по своей сути не являются спорными, так как достоверное количество определяется объемно планировочными характеристиками.</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lastRenderedPageBreak/>
        <w:t>Общество в отзыве на кассационную жалобу с доводами, изложенными в ней, не согласилась, просит обжалуемые судебные акты оставить без изменения, кассационную жалобу - без удовлетворения.</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Учреждение направило в суд кассационной инстанции письменные объяснения и дополнительные доказательства.</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Суд, рассмотрев по правилам статьи 159 АПК РФ указанное ходатайство, отказал в их удовлетворении, по причине отсутствия у суда кассационной инстанции полномочий по исследованию и оценке доказательств, которые не представлялись судам первой или апелляционной инстанций, в силу части 3 статьи 286 АПК РФ, и определил возвратить их обратно заявителю.</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В соответствии с частью 2 статьи 288.2 АПК РФ (в редакции Федерального закона от 28.11.2018 N 451-ФЗ "О внесении изменений в отдельные законодательные акты Российской Федерации") и с учетом разъяснений пункта 55 постановления Пленума Верховного Суда Российской Федерации от 18.04.2017 N 10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w:t>
      </w:r>
      <w:proofErr w:type="gramEnd"/>
      <w:r w:rsidRPr="00DC7B8F">
        <w:rPr>
          <w:rFonts w:ascii="Times New Roman" w:eastAsia="Times New Roman" w:hAnsi="Times New Roman" w:cs="Times New Roman"/>
          <w:sz w:val="24"/>
          <w:szCs w:val="24"/>
          <w:lang w:eastAsia="ru-RU"/>
        </w:rPr>
        <w:t xml:space="preserve"> </w:t>
      </w:r>
      <w:proofErr w:type="gramStart"/>
      <w:r w:rsidRPr="00DC7B8F">
        <w:rPr>
          <w:rFonts w:ascii="Times New Roman" w:eastAsia="Times New Roman" w:hAnsi="Times New Roman" w:cs="Times New Roman"/>
          <w:sz w:val="24"/>
          <w:szCs w:val="24"/>
          <w:lang w:eastAsia="ru-RU"/>
        </w:rPr>
        <w:t>упрощенном производстве" суд кассационной инстанции рассматривает кассационные жалобы на решения арбитражного суда первой инстанции и постановления арбитражного суда апелляционной инстанции, принятые по делам, рассмотренным в порядке упрощенного производства, единолично, без проведения судебного заседания, без вызова лиц, участвующих в деле и без осуществления протоколирования.</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В силу части 1 статьи 286 АПК РФ суд кассационной инстанции проверяет законность решений, постановлений, принятых арбитражным судом первой и апелляционной инстанций, устанавливая правильность применения норм материального права и норм процессуального права при рассмотрении дела и принятии обжалуемого судебного акта и исходя из доводов, содержащихся в кассационной жалобе и возражениях относительно жалобы, если иное не предусмотрено названным Кодексом.</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Изучив материалы дела и доводы, изложенные в кассационной жалобе и отзыве на нее, проверив в порядке, установленном главой 35 АПК РФ, правильность применения судами норм материального и процессуального права, соответствие выводов судов о применении норм права установленным по делу фактическим обстоятельствам и имеющимся в деле доказательствам, суд кассационной инстанции пришел к следующим выводам.</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Как видно из материалов дела и установлено судами, 06.07.2022 Учреждением (заказчиком) и Обществом (подрядчиком) заключен государственный контракт N А115/22 (далее - контракт), по условиям которого подрядчик обязуется по заданию заказчика выполнить работы по текущему ремонту помещений районного судебно-медицинского отделения Учреждения по адресу: Всеволожский район, ПГТ Токсово, улица Буланова, дом 18, литера</w:t>
      </w:r>
      <w:proofErr w:type="gramStart"/>
      <w:r w:rsidRPr="00DC7B8F">
        <w:rPr>
          <w:rFonts w:ascii="Times New Roman" w:eastAsia="Times New Roman" w:hAnsi="Times New Roman" w:cs="Times New Roman"/>
          <w:sz w:val="24"/>
          <w:szCs w:val="24"/>
          <w:lang w:eastAsia="ru-RU"/>
        </w:rPr>
        <w:t xml:space="preserve"> Ж</w:t>
      </w:r>
      <w:proofErr w:type="gramEnd"/>
      <w:r w:rsidRPr="00DC7B8F">
        <w:rPr>
          <w:rFonts w:ascii="Times New Roman" w:eastAsia="Times New Roman" w:hAnsi="Times New Roman" w:cs="Times New Roman"/>
          <w:sz w:val="24"/>
          <w:szCs w:val="24"/>
          <w:lang w:eastAsia="ru-RU"/>
        </w:rPr>
        <w:t xml:space="preserve"> (далее - работы), а заказчик обязуется принять результат работ и оплатить обусловленную контрактом сумму.</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Согласно пункту 1.2 контракта подрядчик производит работы в соответствии с условиями контракта, определяющими стоимость работ и сроки их выполнения, приложением N 1 "Описание объекта закупки и сметной документации", являющегося его неотъемлемой частью, определяющими объем, содержание работ и другие, предъявляемые к ним требования.</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lastRenderedPageBreak/>
        <w:t>В соответствии с пунктом 2.1 контракта его цена является твердой, определена на весь срок исполнения контракта и включает в себя прибыль подрядчика, затраты на производство строительно-монтажных работ с учетом стоимости используемых материалов, затраты, связанные с мобилизацией строительной техники и персонала подрядчика, доставкой материалов, необходимых для начала производства работ и их демобилизацией после окончания работ, в том числе расходы на страхование</w:t>
      </w:r>
      <w:proofErr w:type="gramEnd"/>
      <w:r w:rsidRPr="00DC7B8F">
        <w:rPr>
          <w:rFonts w:ascii="Times New Roman" w:eastAsia="Times New Roman" w:hAnsi="Times New Roman" w:cs="Times New Roman"/>
          <w:sz w:val="24"/>
          <w:szCs w:val="24"/>
          <w:lang w:eastAsia="ru-RU"/>
        </w:rPr>
        <w:t>, уплату таможенных пошлин, налогов, сборов и иных затрат, напрямую или косвенно связанные с выполнением работ, предусмотренных настоящим контрактом при котором цена контракта составляет 936 228 руб. 28 коп.</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В силу пункта 2.5 контракта оплата за выполненные работы производится заказчиком по факту получения и принятия результата работ в безналичной форме путем перечисления денежных сре</w:t>
      </w:r>
      <w:proofErr w:type="gramStart"/>
      <w:r w:rsidRPr="00DC7B8F">
        <w:rPr>
          <w:rFonts w:ascii="Times New Roman" w:eastAsia="Times New Roman" w:hAnsi="Times New Roman" w:cs="Times New Roman"/>
          <w:sz w:val="24"/>
          <w:szCs w:val="24"/>
          <w:lang w:eastAsia="ru-RU"/>
        </w:rPr>
        <w:t>дств в р</w:t>
      </w:r>
      <w:proofErr w:type="gramEnd"/>
      <w:r w:rsidRPr="00DC7B8F">
        <w:rPr>
          <w:rFonts w:ascii="Times New Roman" w:eastAsia="Times New Roman" w:hAnsi="Times New Roman" w:cs="Times New Roman"/>
          <w:sz w:val="24"/>
          <w:szCs w:val="24"/>
          <w:lang w:eastAsia="ru-RU"/>
        </w:rPr>
        <w:t>ублях на расчетный счет подрядчика, указанный в контракте, в течение 7-ми рабочих дней с даты подписания заказчиком документа о приемке, предусмотренного контрактом.</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 xml:space="preserve">Согласно пункту 3.2 контракта срок окончания работ - не позднее 20-ти календарных дней </w:t>
      </w:r>
      <w:proofErr w:type="gramStart"/>
      <w:r w:rsidRPr="00DC7B8F">
        <w:rPr>
          <w:rFonts w:ascii="Times New Roman" w:eastAsia="Times New Roman" w:hAnsi="Times New Roman" w:cs="Times New Roman"/>
          <w:sz w:val="24"/>
          <w:szCs w:val="24"/>
          <w:lang w:eastAsia="ru-RU"/>
        </w:rPr>
        <w:t>с даты заключения</w:t>
      </w:r>
      <w:proofErr w:type="gramEnd"/>
      <w:r w:rsidRPr="00DC7B8F">
        <w:rPr>
          <w:rFonts w:ascii="Times New Roman" w:eastAsia="Times New Roman" w:hAnsi="Times New Roman" w:cs="Times New Roman"/>
          <w:sz w:val="24"/>
          <w:szCs w:val="24"/>
          <w:lang w:eastAsia="ru-RU"/>
        </w:rPr>
        <w:t xml:space="preserve"> контракта.</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Приемка работ по контракту осуществляется заказчиком (пункт 8.1 контракта).</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В соответствии с пунктом 8.2 контракта подрядчик обязан письменно, не менее чем за 3 (три) дня до завершения работ, известить заказчика о готовности объекта к сдаче в эксплуатацию, с указанием даты и времени проведения приемки работ. К извещению должны быть приложены документы, подтверждающие фактическое выполнение работ (акты на скрытые работы, сертификаты качества на поставляемые при выполнении работ материалы и иную необходимую исполнительную документацию).</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Согласно пункту 8.3 контракта после окончания работ, подрядчик в срок, установленный в пункте 3.2 контракта, формирует документ о приемке с использованием единой информационной системы, подписывает его усиленной электронной подписью лица, имеющего право действовать от имени подрядчика, и размещает в единой информационной системе.</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Датой приемки выполненных работ по контракту считается дата размещения в единой информационной системе документа о приемке, подписанного заказчиком (пункт 8.8 контракта).</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Как следует из материалов дела, выполненные работы по контракту приняты на основании актов и справок по форме КС-2, КС-3 и оплачены в полном объеме платежными поручениями от 31.08.2022 и 05.09.2022.</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 xml:space="preserve">Согласно акту Контрольного комитета Губернатора Ленинградской области по результатам плановой выездной проверки в Учреждении от 26.12.2023 - при проведении контрольного мероприятия по контракту, соответствующему акту выполненных работ (КС-2) выявлено завышение объемов работ и </w:t>
      </w:r>
      <w:proofErr w:type="spellStart"/>
      <w:r w:rsidRPr="00DC7B8F">
        <w:rPr>
          <w:rFonts w:ascii="Times New Roman" w:eastAsia="Times New Roman" w:hAnsi="Times New Roman" w:cs="Times New Roman"/>
          <w:sz w:val="24"/>
          <w:szCs w:val="24"/>
          <w:lang w:eastAsia="ru-RU"/>
        </w:rPr>
        <w:t>задвоение</w:t>
      </w:r>
      <w:proofErr w:type="spellEnd"/>
      <w:r w:rsidRPr="00DC7B8F">
        <w:rPr>
          <w:rFonts w:ascii="Times New Roman" w:eastAsia="Times New Roman" w:hAnsi="Times New Roman" w:cs="Times New Roman"/>
          <w:sz w:val="24"/>
          <w:szCs w:val="24"/>
          <w:lang w:eastAsia="ru-RU"/>
        </w:rPr>
        <w:t xml:space="preserve"> объемов материала, выразившееся в следующем: не установлены дверные упоры в помещении; завышены объемы по облицовке стен плиткой; не выполнены работы по установке защитного барьера; завышены объемы по устройству плинтусов ПВХ на полах; завышены объемы по устройству кабелей - канала; не установлена мойка стальная в отремонтированном помещении; </w:t>
      </w:r>
      <w:proofErr w:type="spellStart"/>
      <w:r w:rsidRPr="00DC7B8F">
        <w:rPr>
          <w:rFonts w:ascii="Times New Roman" w:eastAsia="Times New Roman" w:hAnsi="Times New Roman" w:cs="Times New Roman"/>
          <w:sz w:val="24"/>
          <w:szCs w:val="24"/>
          <w:lang w:eastAsia="ru-RU"/>
        </w:rPr>
        <w:t>задвоение</w:t>
      </w:r>
      <w:proofErr w:type="spellEnd"/>
      <w:r w:rsidRPr="00DC7B8F">
        <w:rPr>
          <w:rFonts w:ascii="Times New Roman" w:eastAsia="Times New Roman" w:hAnsi="Times New Roman" w:cs="Times New Roman"/>
          <w:sz w:val="24"/>
          <w:szCs w:val="24"/>
          <w:lang w:eastAsia="ru-RU"/>
        </w:rPr>
        <w:t xml:space="preserve"> объемов материала при установке дверных блоков из ПВХ.</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lastRenderedPageBreak/>
        <w:t xml:space="preserve">Ссылаясь на то, что по результатам проведения контрольного мероприятия по контракту им оплачены Обществу фактически не выполненные работы на сумму 83 019 руб., а также </w:t>
      </w:r>
      <w:proofErr w:type="spellStart"/>
      <w:r w:rsidRPr="00DC7B8F">
        <w:rPr>
          <w:rFonts w:ascii="Times New Roman" w:eastAsia="Times New Roman" w:hAnsi="Times New Roman" w:cs="Times New Roman"/>
          <w:sz w:val="24"/>
          <w:szCs w:val="24"/>
          <w:lang w:eastAsia="ru-RU"/>
        </w:rPr>
        <w:t>задвоенные</w:t>
      </w:r>
      <w:proofErr w:type="spellEnd"/>
      <w:r w:rsidRPr="00DC7B8F">
        <w:rPr>
          <w:rFonts w:ascii="Times New Roman" w:eastAsia="Times New Roman" w:hAnsi="Times New Roman" w:cs="Times New Roman"/>
          <w:sz w:val="24"/>
          <w:szCs w:val="24"/>
          <w:lang w:eastAsia="ru-RU"/>
        </w:rPr>
        <w:t xml:space="preserve"> материалы на сумму 56 833 руб., Учреждение направило в адрес Общества 26.06.2024, 18.04.2025 и 13.05.2025 претензии (требования) о возврате неосновательного обогащения, которые оставлены без удовлетворения.</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C7B8F">
        <w:rPr>
          <w:rFonts w:ascii="Times New Roman" w:eastAsia="Times New Roman" w:hAnsi="Times New Roman" w:cs="Times New Roman"/>
          <w:sz w:val="24"/>
          <w:szCs w:val="24"/>
          <w:lang w:eastAsia="ru-RU"/>
        </w:rPr>
        <w:t>Неурегулирование</w:t>
      </w:r>
      <w:proofErr w:type="spellEnd"/>
      <w:r w:rsidRPr="00DC7B8F">
        <w:rPr>
          <w:rFonts w:ascii="Times New Roman" w:eastAsia="Times New Roman" w:hAnsi="Times New Roman" w:cs="Times New Roman"/>
          <w:sz w:val="24"/>
          <w:szCs w:val="24"/>
          <w:lang w:eastAsia="ru-RU"/>
        </w:rPr>
        <w:t xml:space="preserve"> спора в досудебном порядке явилось основанием для истца обратиться в арбитражный суд с настоящим иском.</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 xml:space="preserve">Суд первой инстанции установив, что контракт сторонами был исполнен, работы по нему заказчиком приняты, </w:t>
      </w:r>
      <w:proofErr w:type="gramStart"/>
      <w:r w:rsidRPr="00DC7B8F">
        <w:rPr>
          <w:rFonts w:ascii="Times New Roman" w:eastAsia="Times New Roman" w:hAnsi="Times New Roman" w:cs="Times New Roman"/>
          <w:sz w:val="24"/>
          <w:szCs w:val="24"/>
          <w:lang w:eastAsia="ru-RU"/>
        </w:rPr>
        <w:t>объем</w:t>
      </w:r>
      <w:proofErr w:type="gramEnd"/>
      <w:r w:rsidRPr="00DC7B8F">
        <w:rPr>
          <w:rFonts w:ascii="Times New Roman" w:eastAsia="Times New Roman" w:hAnsi="Times New Roman" w:cs="Times New Roman"/>
          <w:sz w:val="24"/>
          <w:szCs w:val="24"/>
          <w:lang w:eastAsia="ru-RU"/>
        </w:rPr>
        <w:t xml:space="preserve"> и стоимость работ подтверждены двусторонними подписанными актами, доказательств, позволяющих усомниться в достоверности указанных в них сведений, не представлено, равно как и не представлено доказательств в подтверждение того, что недостатки работ не могли быть обнаружены при их приемке, пришел к выводу о недоказанности факта завышения подрядчиком объемов работ и материалов по контракту, в </w:t>
      </w:r>
      <w:proofErr w:type="gramStart"/>
      <w:r w:rsidRPr="00DC7B8F">
        <w:rPr>
          <w:rFonts w:ascii="Times New Roman" w:eastAsia="Times New Roman" w:hAnsi="Times New Roman" w:cs="Times New Roman"/>
          <w:sz w:val="24"/>
          <w:szCs w:val="24"/>
          <w:lang w:eastAsia="ru-RU"/>
        </w:rPr>
        <w:t>связи</w:t>
      </w:r>
      <w:proofErr w:type="gramEnd"/>
      <w:r w:rsidRPr="00DC7B8F">
        <w:rPr>
          <w:rFonts w:ascii="Times New Roman" w:eastAsia="Times New Roman" w:hAnsi="Times New Roman" w:cs="Times New Roman"/>
          <w:sz w:val="24"/>
          <w:szCs w:val="24"/>
          <w:lang w:eastAsia="ru-RU"/>
        </w:rPr>
        <w:t xml:space="preserve"> с чем отказал в удовлетворении исковых требований.</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Суд апелляционной инстанции, повторно рассматривая дело, согласился с выводами суда первой инстанции.</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Изучив материалы дела, проверив правильность применения судами норм материального и процессуального права, суд кассационной инстанции пришел к следующим выводам.</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Согласно статье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Кодекса.</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По требованию о взыскании сумм, составляющих неосновательное обогащение, на основании части 1 статьи 1102, части 2 статьи 1105 ГК РФ истец должен доказать: факт приобретения или сбережения ответчиком денежных средств за счет истца; отсутствие установленных законом, иными правовыми актами или сделкой оснований для приобретения; размер неосновательного обогащения.</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Таким образом, для возникновения обязательства вследствие неосновательного обогащения необходимо наличие одновременно двух обстоятельств: обогащение одного лица за счет другого и приобретение или сбережение имущества без предусмотренных законом, правовым актом или сделкой оснований.</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В пункте 7 Обзора судебной практики Верховного Суда Российской Федерации N 2 (2019), утвержденного Президиумом Верховного Суда Российской Федерации 17.07.2019, разъяснено, что по делам о взыскании неосновательного обогащения на истца возлагается обязанность доказать факт приобретения или сбережения имущества ответчиком, а на ответчика - обязанность доказать наличие законных оснований для приобретения или сбережения такого имущества либо наличие обстоятельств, при которых неосновательное обогащение</w:t>
      </w:r>
      <w:proofErr w:type="gramEnd"/>
      <w:r w:rsidRPr="00DC7B8F">
        <w:rPr>
          <w:rFonts w:ascii="Times New Roman" w:eastAsia="Times New Roman" w:hAnsi="Times New Roman" w:cs="Times New Roman"/>
          <w:sz w:val="24"/>
          <w:szCs w:val="24"/>
          <w:lang w:eastAsia="ru-RU"/>
        </w:rPr>
        <w:t xml:space="preserve"> в силу закона не подлежит возврату.</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 xml:space="preserve">В соответствии с положениями статей 702, 706, 708, 709 и 740 ГК РФ обязательственное правоотношение, возникшее из договора подряда, состоит из встречных обязательств, определяющих тип этого договора: обязательства подрядчика по </w:t>
      </w:r>
      <w:r w:rsidRPr="00DC7B8F">
        <w:rPr>
          <w:rFonts w:ascii="Times New Roman" w:eastAsia="Times New Roman" w:hAnsi="Times New Roman" w:cs="Times New Roman"/>
          <w:sz w:val="24"/>
          <w:szCs w:val="24"/>
          <w:lang w:eastAsia="ru-RU"/>
        </w:rPr>
        <w:lastRenderedPageBreak/>
        <w:t>созданию объекта или выполнению определенного объема строительных работ надлежащего качества в согласованные сроки и обязательства заказчика уплатить обусловленную договором цену в порядке, предусмотренном сделкой (статья 328 ГК РФ).</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Под надлежащим исполнением обязательств подрядчика понимается выполнение им работ в соответствии с условиями договора и требованиями действующих нормативных документов, регулирующих предмет обязательства. Только качественное выполнение работ может быть признано надлежащим исполнением обязательства (пункт 1 статьи 408, статьи 711, 721, 723, 761 ГК РФ).</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Пунктом 4 информационного письма Президиума Высшего Арбитражного Суда Российской Федерации от 11.01.2000 N 49 "Обзор практики рассмотрения споров, связанных с применением норм о неосновательном обогащении" предусмотрено, что излишняя оплата, полученная подрядчиком по причине завышения фактически выполненных объемов работ, рассматривается как неосновательное обогащение и подлежит возврату.</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Подрядчик не лишен права доказывать соответствие объема выполненных работ по контракту полученной оплате.</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Факты, установленные в результате проведения контрольным управлением проверки и влияющие на отношения сторон по исполнению государственного контракта, подлежат судебной оценке на основе процессуальных средств, предусмотренных законодательством, в целях правильного рассмотрения дела (часть 1 статьи 64 АПК РФ), при необходимости возможно назначение судебной экспертизы (определения Верховного Суда Российской Федерации от 07.09.2021 N 305-ЭС21-5987, от 22.12.2021 N 305-ЭС21-7750).</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В соответствии с частью 1 статьи 65 АПК РФ каждое лицо, участвующее в деле, должно доказать обстоятельства, на которые оно ссылается как на основании своих требований и возражений.</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Арбитражный суд устанавливает наличие или отсутствие обстоятельств, обосновывающих требования и возражения лиц, участвующих в деле, а также иные обстоятельства, имеющие значение для правильного рассмотрения дела, исходя из представленных доказательств (часть 1 статьи 64, статья 168 АПК РФ).</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Исследовав и оценив представленные в материалы дела доказательства по правилам статьи 71 АПК РФ в совокупности и взаимосвязи, а также доводы и возражения участвующих в деле лиц, принимая во внимание, что объем и стоимость работ подтверждены двусторонне подписанными актами, каких-либо доказательств, позволяющих усомниться в достоверности указанных в актах приемки работ сведений, а также того, что недостатки работ не могли быть</w:t>
      </w:r>
      <w:proofErr w:type="gramEnd"/>
      <w:r w:rsidRPr="00DC7B8F">
        <w:rPr>
          <w:rFonts w:ascii="Times New Roman" w:eastAsia="Times New Roman" w:hAnsi="Times New Roman" w:cs="Times New Roman"/>
          <w:sz w:val="24"/>
          <w:szCs w:val="24"/>
          <w:lang w:eastAsia="ru-RU"/>
        </w:rPr>
        <w:t xml:space="preserve"> обнаружены при их приемке, в материалы дела не представлено, контракт сторонами исполнен, работы по нему приняты заказчиком, суды пришли к выводу о недоказанности истцом факта завышения подрядчиком объема работ и материалов по контракту, </w:t>
      </w:r>
      <w:proofErr w:type="gramStart"/>
      <w:r w:rsidRPr="00DC7B8F">
        <w:rPr>
          <w:rFonts w:ascii="Times New Roman" w:eastAsia="Times New Roman" w:hAnsi="Times New Roman" w:cs="Times New Roman"/>
          <w:sz w:val="24"/>
          <w:szCs w:val="24"/>
          <w:lang w:eastAsia="ru-RU"/>
        </w:rPr>
        <w:t>и</w:t>
      </w:r>
      <w:proofErr w:type="gramEnd"/>
      <w:r w:rsidRPr="00DC7B8F">
        <w:rPr>
          <w:rFonts w:ascii="Times New Roman" w:eastAsia="Times New Roman" w:hAnsi="Times New Roman" w:cs="Times New Roman"/>
          <w:sz w:val="24"/>
          <w:szCs w:val="24"/>
          <w:lang w:eastAsia="ru-RU"/>
        </w:rPr>
        <w:t xml:space="preserve"> учитывая, что сам по себе акт проверки контролирующего органа, проведенной в отношении истца, в отсутствие иных доказательств завышения объема работ и материалов не является основанием для взыскания с ответчика неосновательного обогащения, обоснованно отказали в удовлетворении исковых требований.</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lastRenderedPageBreak/>
        <w:t>Акт проверки от 26.12.2023, содержащий результаты произведенных замеров на объекте, не может рассматриваться в качестве единственного, неопровержимого доказательства, подтверждающего однозначно завышение объема работ и материалов, так как его целью является проверка целевого использования бюджетных средств, а не недостатков выполненных работ.</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Суд кассационной инстанции полагает, что приведенная судами оценка обстоятельств дела соответствует положениям процессуального законодательства, устанавливающим стандарт всестороннего и полного исследования имеющихся в деле доказательств в их совокупности и взаимосвязи без придания преимущественного значения какому бы то ни было из них (определения Верховного Суда Российской Федерации от 20.06.2016 N 305-ЭС15-10323, от 05.10.2017 N 309-ЭС17-6308).</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 xml:space="preserve">Фактически доводы жалобы направлены на переоценку имеющихся в деле доказательств и установления новых обстоятельств, отличных </w:t>
      </w:r>
      <w:proofErr w:type="gramStart"/>
      <w:r w:rsidRPr="00DC7B8F">
        <w:rPr>
          <w:rFonts w:ascii="Times New Roman" w:eastAsia="Times New Roman" w:hAnsi="Times New Roman" w:cs="Times New Roman"/>
          <w:sz w:val="24"/>
          <w:szCs w:val="24"/>
          <w:lang w:eastAsia="ru-RU"/>
        </w:rPr>
        <w:t>от</w:t>
      </w:r>
      <w:proofErr w:type="gramEnd"/>
      <w:r w:rsidRPr="00DC7B8F">
        <w:rPr>
          <w:rFonts w:ascii="Times New Roman" w:eastAsia="Times New Roman" w:hAnsi="Times New Roman" w:cs="Times New Roman"/>
          <w:sz w:val="24"/>
          <w:szCs w:val="24"/>
          <w:lang w:eastAsia="ru-RU"/>
        </w:rPr>
        <w:t xml:space="preserve"> установленных судами. Такие выводы не могут быть приняты во внимание.</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Доводы заявителя, изложенные в кассационной жалобе, были предметом исследования в судах первой и апелляционной инстанции, не свидетельствуют о нарушении судами норм права и сводятся лишь к переоценке имеющихся в деле доказательств и сделанных на их основании выводов судов, полномочий для которой у суда кассационной инстанции не имеется (статья 286 АПК РФ).</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При рассмотрении спора имеющиеся в материалах дела доказательства исследованы судами по правилам, предусмотренным статьями 67, 68 АПК РФ, им дана надлежащая правовая оценка согласно статье 71 АПК РФ.</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Суд кассационной инстанции не вправе переоценивать доказательства и устанавливать иные обстоятельства, отличающиеся от установленных судами нижестоящих инстанций, в нарушение своей компетенции, предусмотренной статьями 286, 287 АПК РФ.</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Нарушений норм процессуального права, влекущих отмену решения суда первой инстанции и постановления суда апелляционной инстанции (статья 288 АПК РФ), судом округа не выявлено.</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C7B8F">
        <w:rPr>
          <w:rFonts w:ascii="Times New Roman" w:eastAsia="Times New Roman" w:hAnsi="Times New Roman" w:cs="Times New Roman"/>
          <w:sz w:val="24"/>
          <w:szCs w:val="24"/>
          <w:lang w:eastAsia="ru-RU"/>
        </w:rPr>
        <w:t>С учетом изложенного, обжалуемые судебные акты подлежат оставлению без изменения, кассационная жалоба - без удовлетворения.</w:t>
      </w:r>
      <w:proofErr w:type="gramEnd"/>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Расходы по уплате государственной пошлины за кассационное рассмотрение дела на основании статьи 110 АПК РФ относятся на заявителя жалобы.</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Принимая во внимание, что при подаче кассационной жалобы Учреждению предоставлена отсрочка уплаты государственной пошлины до вынесения постановления кассационной инстанции, с заявителя в федеральный бюджет подлежит взысканию государственная пошлина в размере 50 000 руб.</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Руководствуясь статьями 110, 286, 287 и 289 Арбитражного процессуального кодекса Российской Федерации, Арбитражный суд Северо-Западного округа</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постановил:</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lastRenderedPageBreak/>
        <w:t>решение Арбитражного суда города Санкт-Петербурга и Ленинградской области от 28.10.2025 и постановление Тринадцатого арбитражного апелляционного суда от 16.02.2026 по делу N А56-72874/2025 оставить без изменения, а кассационную жалобу Государственного казенного учреждения здравоохранения Ленинградской области Бюро судебно-медицинской экспертизы - без удовлетворения.</w:t>
      </w:r>
    </w:p>
    <w:p w:rsidR="00DC7B8F" w:rsidRPr="00DC7B8F" w:rsidRDefault="00DC7B8F" w:rsidP="00DC7B8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C7B8F">
        <w:rPr>
          <w:rFonts w:ascii="Times New Roman" w:eastAsia="Times New Roman" w:hAnsi="Times New Roman" w:cs="Times New Roman"/>
          <w:sz w:val="24"/>
          <w:szCs w:val="24"/>
          <w:lang w:eastAsia="ru-RU"/>
        </w:rPr>
        <w:t xml:space="preserve">Взыскать с Государственного казенного учреждения здравоохранения Ленинградской области Бюро судебно-медицинской экспертизы, адрес: 188300, Ленинградская область, город Гатчина, </w:t>
      </w:r>
      <w:proofErr w:type="spellStart"/>
      <w:r w:rsidRPr="00DC7B8F">
        <w:rPr>
          <w:rFonts w:ascii="Times New Roman" w:eastAsia="Times New Roman" w:hAnsi="Times New Roman" w:cs="Times New Roman"/>
          <w:sz w:val="24"/>
          <w:szCs w:val="24"/>
          <w:lang w:eastAsia="ru-RU"/>
        </w:rPr>
        <w:t>Рощинская</w:t>
      </w:r>
      <w:proofErr w:type="spellEnd"/>
      <w:r w:rsidRPr="00DC7B8F">
        <w:rPr>
          <w:rFonts w:ascii="Times New Roman" w:eastAsia="Times New Roman" w:hAnsi="Times New Roman" w:cs="Times New Roman"/>
          <w:sz w:val="24"/>
          <w:szCs w:val="24"/>
          <w:lang w:eastAsia="ru-RU"/>
        </w:rPr>
        <w:t xml:space="preserve"> улица, дом 15А, корпус 8, помещение 2, ОГРН 102781339072, ИНН 7809018808, в доход федерального бюджета 50 000 руб. государственной пошлины за рассмотрение кассационной жалобы.</w:t>
      </w:r>
    </w:p>
    <w:p w:rsidR="00DC7B8F" w:rsidRPr="00DC7B8F" w:rsidRDefault="00DC7B8F" w:rsidP="00DC7B8F">
      <w:pPr>
        <w:spacing w:before="100" w:beforeAutospacing="1" w:after="100" w:afterAutospacing="1" w:line="240" w:lineRule="auto"/>
        <w:jc w:val="right"/>
        <w:rPr>
          <w:rFonts w:ascii="Times New Roman" w:eastAsia="Times New Roman" w:hAnsi="Times New Roman" w:cs="Times New Roman"/>
          <w:b/>
          <w:sz w:val="24"/>
          <w:szCs w:val="24"/>
          <w:lang w:eastAsia="ru-RU"/>
        </w:rPr>
      </w:pPr>
      <w:r w:rsidRPr="00DC7B8F">
        <w:rPr>
          <w:rFonts w:ascii="Times New Roman" w:eastAsia="Times New Roman" w:hAnsi="Times New Roman" w:cs="Times New Roman"/>
          <w:b/>
          <w:sz w:val="24"/>
          <w:szCs w:val="24"/>
          <w:lang w:eastAsia="ru-RU"/>
        </w:rPr>
        <w:t>Судья</w:t>
      </w:r>
      <w:r w:rsidRPr="00DC7B8F">
        <w:rPr>
          <w:rFonts w:ascii="Times New Roman" w:eastAsia="Times New Roman" w:hAnsi="Times New Roman" w:cs="Times New Roman"/>
          <w:b/>
          <w:sz w:val="24"/>
          <w:szCs w:val="24"/>
          <w:lang w:eastAsia="ru-RU"/>
        </w:rPr>
        <w:br/>
        <w:t>О.К.ЕЛАГИНА</w:t>
      </w:r>
    </w:p>
    <w:p w:rsidR="00F87B30" w:rsidRPr="005A513A" w:rsidRDefault="00F87B30" w:rsidP="005A513A"/>
    <w:sectPr w:rsidR="00F87B30" w:rsidRPr="005A513A" w:rsidSect="00B04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3"/>
  </w:num>
  <w:num w:numId="4">
    <w:abstractNumId w:val="12"/>
  </w:num>
  <w:num w:numId="5">
    <w:abstractNumId w:val="7"/>
  </w:num>
  <w:num w:numId="6">
    <w:abstractNumId w:val="14"/>
  </w:num>
  <w:num w:numId="7">
    <w:abstractNumId w:val="0"/>
  </w:num>
  <w:num w:numId="8">
    <w:abstractNumId w:val="15"/>
  </w:num>
  <w:num w:numId="9">
    <w:abstractNumId w:val="11"/>
  </w:num>
  <w:num w:numId="10">
    <w:abstractNumId w:val="10"/>
  </w:num>
  <w:num w:numId="11">
    <w:abstractNumId w:val="5"/>
  </w:num>
  <w:num w:numId="12">
    <w:abstractNumId w:val="6"/>
  </w:num>
  <w:num w:numId="13">
    <w:abstractNumId w:val="17"/>
  </w:num>
  <w:num w:numId="14">
    <w:abstractNumId w:val="2"/>
  </w:num>
  <w:num w:numId="15">
    <w:abstractNumId w:val="1"/>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180BE9"/>
    <w:rsid w:val="002426F7"/>
    <w:rsid w:val="00277C7B"/>
    <w:rsid w:val="002B07E6"/>
    <w:rsid w:val="002D7D9A"/>
    <w:rsid w:val="00310DB7"/>
    <w:rsid w:val="003D610C"/>
    <w:rsid w:val="00441D66"/>
    <w:rsid w:val="005005D7"/>
    <w:rsid w:val="0051498A"/>
    <w:rsid w:val="00525ABA"/>
    <w:rsid w:val="00587BCD"/>
    <w:rsid w:val="005A513A"/>
    <w:rsid w:val="005E2268"/>
    <w:rsid w:val="00622EF4"/>
    <w:rsid w:val="0062333D"/>
    <w:rsid w:val="006A3F4C"/>
    <w:rsid w:val="006F710E"/>
    <w:rsid w:val="00742FB9"/>
    <w:rsid w:val="00752FFF"/>
    <w:rsid w:val="007C217B"/>
    <w:rsid w:val="00847224"/>
    <w:rsid w:val="008B42FC"/>
    <w:rsid w:val="008F54BB"/>
    <w:rsid w:val="00A15F2B"/>
    <w:rsid w:val="00B415B2"/>
    <w:rsid w:val="00B70054"/>
    <w:rsid w:val="00B710FE"/>
    <w:rsid w:val="00CA0B3A"/>
    <w:rsid w:val="00CA5722"/>
    <w:rsid w:val="00CC0FA2"/>
    <w:rsid w:val="00CC5681"/>
    <w:rsid w:val="00DC7B8F"/>
    <w:rsid w:val="00DE45D3"/>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DC7B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DC7B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1474">
      <w:bodyDiv w:val="1"/>
      <w:marLeft w:val="0"/>
      <w:marRight w:val="0"/>
      <w:marTop w:val="0"/>
      <w:marBottom w:val="0"/>
      <w:divBdr>
        <w:top w:val="none" w:sz="0" w:space="0" w:color="auto"/>
        <w:left w:val="none" w:sz="0" w:space="0" w:color="auto"/>
        <w:bottom w:val="none" w:sz="0" w:space="0" w:color="auto"/>
        <w:right w:val="none" w:sz="0" w:space="0" w:color="auto"/>
      </w:divBdr>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2826</Words>
  <Characters>16109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2026-07-29T12:29:00Z</dcterms:created>
  <dcterms:modified xsi:type="dcterms:W3CDTF">2026-07-29T12:29:00Z</dcterms:modified>
</cp:coreProperties>
</file>