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4819" w:after="0"/>
        <w:jc w:val="center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  <w:fldChar w:fldCharType="begin"/>
      </w:r>
      <w:r>
        <w:rPr>
          <w:sz w:val="28"/>
          <w:spacing w:val="0"/>
          <w:b/>
          <w:kern w:val="0"/>
          <w:szCs w:val="28"/>
          <w:bCs/>
          <w:color w:val="000000"/>
          <w:lang w:val="ru-RU"/>
        </w:rPr>
        <w:instrText xml:space="preserve"> DOCVARIABLE Name </w:instrText>
      </w:r>
      <w:r>
        <w:rPr>
          <w:sz w:val="28"/>
          <w:spacing w:val="0"/>
          <w:b/>
          <w:kern w:val="0"/>
          <w:szCs w:val="28"/>
          <w:bCs/>
          <w:color w:val="000000"/>
          <w:lang w:val="ru-RU"/>
        </w:rPr>
        <w:fldChar w:fldCharType="separate"/>
      </w:r>
      <w:r>
        <w:rPr>
          <w:sz w:val="28"/>
          <w:spacing w:val="0"/>
          <w:b/>
          <w:kern w:val="0"/>
          <w:szCs w:val="28"/>
          <w:bCs/>
          <w:color w:val="000000"/>
          <w:lang w:val="ru-RU"/>
        </w:rPr>
        <w:t>Об установлении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при осуществлении закупок услуг по защите объектов транспортной инфраструктуры от актов незаконного вмешательства, в том числе защите от противоправных посягательств</w:t>
      </w:r>
      <w:r>
        <w:rPr>
          <w:sz w:val="28"/>
          <w:spacing w:val="0"/>
          <w:b/>
          <w:kern w:val="0"/>
          <w:szCs w:val="28"/>
          <w:bCs/>
          <w:color w:val="000000"/>
          <w:lang w:val="ru-RU"/>
        </w:rPr>
        <w:fldChar w:fldCharType="end"/>
      </w:r>
    </w:p>
    <w:p>
      <w:pPr>
        <w:pStyle w:val="Normal"/>
        <w:spacing w:lineRule="auto" w:line="240" w:before="0" w:after="0"/>
        <w:jc w:val="center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36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36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  <w:tab/>
      </w:r>
      <w:r>
        <w:rPr>
          <w:b w:val="false"/>
          <w:bCs w:val="false"/>
          <w:kern w:val="0"/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пунктом 1 постановления Правительства Российской Федерации от 18 марта 2026 г. № 287 «О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услуг по защите объектов транспортной инфраструктуры от актов незаконного вмешательства, в том числе защите от противоправных посягательств» </w:t>
      </w:r>
    </w:p>
    <w:p>
      <w:pPr>
        <w:pStyle w:val="Normal"/>
        <w:bidi w:val="0"/>
        <w:spacing w:lineRule="auto" w:line="360" w:before="0" w:after="160"/>
        <w:ind w:left="0" w:righ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>
      <w:pPr>
        <w:pStyle w:val="Normal"/>
        <w:bidi w:val="0"/>
        <w:spacing w:lineRule="auto" w:line="360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1. Установить прилагаемый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услуг по защите объектов транспортной инфраструктуры от актов незаконного вмешательства, в том числе от противоправных посягательств.</w:t>
      </w:r>
    </w:p>
    <w:p>
      <w:pPr>
        <w:pStyle w:val="Normal"/>
        <w:bidi w:val="0"/>
        <w:spacing w:lineRule="auto" w:line="360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 Настоящий приказ не применяется для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услуг по защите объектов транспортной инфраструктуры от актов незаконного вмешательства, в том числе от противоправных посягательств, по государственному оборонному заказу.</w:t>
      </w:r>
    </w:p>
    <w:p>
      <w:pPr>
        <w:pStyle w:val="Normal"/>
        <w:bidi w:val="0"/>
        <w:spacing w:lineRule="auto" w:line="360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 Настоящий приказ не применяется в отношении закупок товаров, работ, услуг для обеспечения государственных и муниципальных нужд, извещения об осуществлении которых размещены в единой информационной системе в сфере закупок либо приглашения принять участие в которых направлены до дня вступления в силу настоящего приказа.</w:t>
      </w:r>
    </w:p>
    <w:p>
      <w:pPr>
        <w:pStyle w:val="Normal"/>
        <w:bidi w:val="0"/>
        <w:spacing w:lineRule="auto" w:line="360" w:before="0" w:after="160"/>
        <w:ind w:left="0" w:righ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05"/>
        <w:gridCol w:w="1744"/>
        <w:gridCol w:w="4389"/>
      </w:tblGrid>
      <w:tr>
        <w:trPr/>
        <w:tc>
          <w:tcPr>
            <w:tcW w:w="3805" w:type="dxa"/>
            <w:tcBorders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fldChar w:fldCharType="begin"/>
            </w:r>
            <w:r>
              <w:rPr>
                <w:sz w:val="28"/>
                <w:shd w:fill="auto" w:val="clear"/>
                <w:szCs w:val="28"/>
              </w:rPr>
              <w:instrText xml:space="preserve"> DOCVARIABLE PredsedatelDolj </w:instrText>
            </w:r>
            <w:r>
              <w:rPr>
                <w:sz w:val="28"/>
                <w:shd w:fill="auto" w:val="clear"/>
                <w:szCs w:val="28"/>
              </w:rPr>
              <w:fldChar w:fldCharType="separate"/>
            </w:r>
            <w:r>
              <w:rPr>
                <w:sz w:val="28"/>
                <w:shd w:fill="auto" w:val="clear"/>
                <w:szCs w:val="28"/>
              </w:rPr>
              <w:t>Руководитель</w:t>
            </w:r>
            <w:r>
              <w:rPr>
                <w:sz w:val="28"/>
                <w:shd w:fill="auto" w:val="clear"/>
                <w:szCs w:val="28"/>
              </w:rPr>
              <w:fldChar w:fldCharType="end"/>
            </w:r>
          </w:p>
        </w:tc>
        <w:tc>
          <w:tcPr>
            <w:tcW w:w="1744" w:type="dxa"/>
            <w:tcBorders/>
          </w:tcPr>
          <w:p>
            <w:pPr>
              <w:pStyle w:val="Normal"/>
              <w:jc w:val="righ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righ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4389" w:type="dxa"/>
            <w:tcBorders/>
          </w:tcPr>
          <w:p>
            <w:pPr>
              <w:pStyle w:val="Normal"/>
              <w:jc w:val="right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fldChar w:fldCharType="begin"/>
            </w:r>
            <w:r>
              <w:rPr>
                <w:sz w:val="28"/>
                <w:shd w:fill="auto" w:val="clear"/>
                <w:szCs w:val="28"/>
              </w:rPr>
              <w:instrText xml:space="preserve"> DOCVARIABLE PredsedatelIOF </w:instrText>
            </w:r>
            <w:r>
              <w:rPr>
                <w:sz w:val="28"/>
                <w:shd w:fill="auto" w:val="clear"/>
                <w:szCs w:val="28"/>
              </w:rPr>
              <w:fldChar w:fldCharType="separate"/>
            </w:r>
            <w:r>
              <w:rPr>
                <w:sz w:val="28"/>
                <w:shd w:fill="auto" w:val="clear"/>
                <w:szCs w:val="28"/>
              </w:rPr>
              <w:t>М.А. Шаскольский</w:t>
            </w:r>
            <w:r>
              <w:rPr>
                <w:sz w:val="28"/>
                <w:shd w:fill="auto" w:val="clear"/>
                <w:szCs w:val="28"/>
              </w:rPr>
              <w:fldChar w:fldCharType="end"/>
            </w:r>
          </w:p>
        </w:tc>
      </w:tr>
      <w:tr>
        <w:trPr/>
        <w:tc>
          <w:tcPr>
            <w:tcW w:w="3805" w:type="dxa"/>
            <w:tcBorders/>
          </w:tcPr>
          <w:p>
            <w:pPr>
              <w:pStyle w:val="Style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44" w:type="dxa"/>
            <w:tcBorders/>
          </w:tcPr>
          <w:p>
            <w:pPr>
              <w:pStyle w:val="Style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389" w:type="dxa"/>
            <w:tcBorders/>
          </w:tcPr>
          <w:p>
            <w:pPr>
              <w:pStyle w:val="Style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>Установлен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приказом ФАС России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от «__» _________ ____ г. № ____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right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spacing w:lineRule="auto" w:line="240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>
      <w:pPr>
        <w:pStyle w:val="Normal"/>
        <w:bidi w:val="0"/>
        <w:spacing w:lineRule="auto" w:line="240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услуг по защите объектов транспортной инфраструктуры от актов незаконного вмешательства, в том числе защите от противоправных посягательств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1. Настоящий Порядок устанавливает единые правила расчета заказчиками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(далее соответственно </w:t>
      </w:r>
      <w:r>
        <w:rPr/>
        <w:t xml:space="preserve">– </w:t>
      </w:r>
      <w:r>
        <w:rPr>
          <w:sz w:val="28"/>
          <w:szCs w:val="28"/>
        </w:rPr>
        <w:t xml:space="preserve">НМЦК, Цена контракта, Начальная цена) при осуществлении закупок услуг по защите от актов незаконного вмешательства, в том числе защите от противоправных посягательств (далее </w:t>
      </w:r>
      <w:r>
        <w:rPr/>
        <w:t>–</w:t>
      </w:r>
      <w:r>
        <w:rPr>
          <w:sz w:val="28"/>
          <w:szCs w:val="28"/>
        </w:rPr>
        <w:t xml:space="preserve"> услуги по защите), объектов транспортной инфраструктуры, включенных в перечни объектов, охрана которых осуществляется силами ведомственной охраны Министерства транспорта Российской Федерации, Федерального агентства железнодорожного транспорта.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 При расчете НМЦК и цены контракта учитываются следующие услуги, оказываемые ведомственной охраной Министерств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транспорта Российской Федерации </w:t>
      </w:r>
      <w:r>
        <w:rPr>
          <w:sz w:val="28"/>
          <w:szCs w:val="28"/>
        </w:rPr>
        <w:t xml:space="preserve">и Федерального агентства железнодорожного транспорта (далее – ведомственная охрана) </w:t>
      </w:r>
      <w:r>
        <w:rPr>
          <w:sz w:val="28"/>
          <w:szCs w:val="28"/>
        </w:rPr>
        <w:t>в соответствии с задачами, возложенными на нее Федеральным законом от 14 апреля 1999 г. № 77-ФЗ «О ведомственной охране» (далее – Федеральный закон № 77-ФЗ), Федеральным законом от 9 февраля 2007 г. № 16-ФЗ «О транспортной безопасности» (далее – Федеральный закон № 16-ФЗ</w:t>
      </w:r>
      <w:r>
        <w:rPr>
          <w:sz w:val="28"/>
          <w:szCs w:val="28"/>
        </w:rPr>
        <w:t>)</w:t>
      </w:r>
      <w:r>
        <w:rPr>
          <w:sz w:val="28"/>
          <w:szCs w:val="28"/>
        </w:rPr>
        <w:t>, Положением о ведомственной охране Министерства транспорта Российской Федерации, утвержд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нным постановлением Правительства Российской Федерации от 11 октября 2001 г. № 743, и Положением о ведомственной охране Федерального агентства железнодорожного транспорта, утвержд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нным постановлением Правительства Российской Федерации от 27 июня 2009 г. № 540: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а) физическая охрана объектов транспортной инфраструктуры (далее </w:t>
      </w:r>
      <w:r>
        <w:rPr/>
        <w:t>–</w:t>
      </w:r>
      <w:r>
        <w:rPr>
          <w:sz w:val="28"/>
          <w:szCs w:val="28"/>
        </w:rPr>
        <w:t xml:space="preserve"> физическая охрана);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б) услуги по проектированию, монтажу, техническому обслуживанию технических средств обеспечения транспортной безопасности, мониторинг состояния объекта, оборудованного действующей системой охраны и безопасности, и (или) принятие соответствующих мер реагирования на их сигнальную информацию (далее – ТСО);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в) проведение досмотра, дополнительного досмотра, повторного досмотра, наблюдения и (или) собеседования в целях обеспечения транспортной безопасности (далее </w:t>
      </w:r>
      <w:r>
        <w:rPr/>
        <w:t xml:space="preserve">– </w:t>
      </w:r>
      <w:r>
        <w:rPr>
          <w:sz w:val="28"/>
          <w:szCs w:val="28"/>
        </w:rPr>
        <w:t>услуги по досмотру);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г) услуги по охране грузов повышенной опасности при их транспортировке;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д) услуги по использованию служебных собак для целей транспортной безопасности (в случаях, предусмотренных планом или паспортом обеспечения транспортной безопасности объекта транспортной инфраструктуры);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е) иные услуги, предусмотренные планами и паспортами обеспечения транспортной безопасности объекта транспортной инфраструктуры.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 В зависимости от уровня безопасности объектов транспортной инфраструктуры и транспортных средств, установленного в соответствии с постановлением Правительства Российской Федерации от 29 декабря 2020 г. № 2344 «Об уровнях безопасности объектов транспортной инфраструктуры и транспортных средств и о порядке их объявления (установления)», заказчик при определении потребности в объеме услуг по защите учитывает мероприятия, предусмотренные планами и паспортами обеспечения транспортной безопасности объекта транспортной инфраструктуры для соответствующих уровней безопасности.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II. Методы определения НМЦК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4. Определение НМЦК осуществляется с применением следующих методов: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а) метод сопоставимых рыночных цен (анализа рынка);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б) затратный метод;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5. Приоритетным методом определения НМЦК при закупке услуг, предусмотренных подпунктом «а» пункта 2 настоящего Порядка, является затратный метод.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Приоритетным методом определения НМЦК при закупке услуг, предусмотренных подпунктами «б» - «е» пункта 2 настоящего Порядка, является метод сопоставимых рыночных цен (анализа рынка).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III. Порядок сбора информации о рыночных ценах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6. В целях получения информации о рыночных ценах (далее – ценовая информация) заказчик проводит одно или несколько из следующих мероприятий: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а) направляет запросы о предоставлении информации о стоимости услуг по защите не менее чем трем исполнителям, оказывающим услуги, соответствующие предмету закупки, информация о которых имеется в свободном доступе;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б) осуществляет поиск информации о стоимости услуг в реестре контрактов, заключенных заказчиками;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в) при наличии возможности размещает запрос цен на услуги в единой информационной системе в сфере закупок.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7. Запрос о предоставлении информации о стоимости услуг должен содержать: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а) описание объекта закупки с указанием единиц измерения объема услуги;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б) основные условия исполнения контракта, включая требования к порядку оказания услуги, предполагаемые сроки проведения закупки, сроки оказания услуги, срок действия контракта;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в) сроки предоставления информации о стоимости услуг;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г) информацию о том, что проведение указанной процедуры сбора информации не влечет за собой возникновение каких-либо обязательств заказчика;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д) цену за единицу измерения услуги, предусмотренную описанием объекта закупки.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8. Расчет цены услуги определяется как среднее арифметическое от стоимости услуг, полученных заказчиком по результатам сбора ценовой информации.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9. В целях определения однородности совокупности значений цен услуг рассчитывается коэффициент вариации по формуле (1):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V = (σ / Ц</w:t>
      </w:r>
      <w:r>
        <w:rPr>
          <w:sz w:val="28"/>
          <w:szCs w:val="28"/>
          <w:vertAlign w:val="subscript"/>
        </w:rPr>
        <w:t>ср</w:t>
      </w:r>
      <w:r>
        <w:rPr>
          <w:sz w:val="28"/>
          <w:szCs w:val="28"/>
        </w:rPr>
        <w:t>) × 100% (1),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V </w:t>
      </w:r>
      <w:r>
        <w:rPr/>
        <w:t>–</w:t>
      </w:r>
      <w:r>
        <w:rPr>
          <w:sz w:val="28"/>
          <w:szCs w:val="28"/>
        </w:rPr>
        <w:t xml:space="preserve"> коэффициент вариации в процентах;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Ц</w:t>
      </w:r>
      <w:r>
        <w:rPr>
          <w:sz w:val="28"/>
          <w:szCs w:val="28"/>
          <w:vertAlign w:val="subscript"/>
        </w:rPr>
        <w:t xml:space="preserve">ср </w:t>
      </w:r>
      <w:r>
        <w:rPr/>
        <w:t>–</w:t>
      </w:r>
      <w:r>
        <w:rPr>
          <w:sz w:val="28"/>
          <w:szCs w:val="28"/>
        </w:rPr>
        <w:t xml:space="preserve"> среднеарифметическая цена единицы услуги;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σ </w:t>
      </w:r>
      <w:r>
        <w:rPr/>
        <w:t>–</w:t>
      </w:r>
      <w:r>
        <w:rPr>
          <w:sz w:val="28"/>
          <w:szCs w:val="28"/>
        </w:rPr>
        <w:t xml:space="preserve"> среднеквадратичное отклонение, которое рассчитывается по формуле (2):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σ = √[ Σ (Ц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 xml:space="preserve"> - Ц</w:t>
      </w:r>
      <w:r>
        <w:rPr>
          <w:sz w:val="28"/>
          <w:szCs w:val="28"/>
          <w:vertAlign w:val="subscript"/>
        </w:rPr>
        <w:t>ср</w:t>
      </w:r>
      <w:r>
        <w:rPr>
          <w:sz w:val="28"/>
          <w:szCs w:val="28"/>
        </w:rPr>
        <w:t>)² / (n - 1) ] (2),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Ц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цена услуги, указанная в источнике с номером i;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n </w:t>
      </w:r>
      <w:r>
        <w:rPr/>
        <w:t>–</w:t>
      </w:r>
      <w:r>
        <w:rPr>
          <w:sz w:val="28"/>
          <w:szCs w:val="28"/>
        </w:rPr>
        <w:t xml:space="preserve"> количество значений, используемых в расчете.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10. Совокупность значений считается неоднородной, если коэффициент вариации цены превышает 15%. В этом случае заказчику необходимо провести мероприятия по сбору ценовой информации, предусмотренные в пункте 6 настоящего Порядка, повторно.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IV. Определение НМЦК и Начальной цены затратным методом при закупке услуг по физической охране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11. При закупке услуг по физической охране НМЦК (Начальная цена) определяется по формуле (3):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НМЦК = (С</w:t>
      </w:r>
      <w:r>
        <w:rPr>
          <w:sz w:val="28"/>
          <w:szCs w:val="28"/>
          <w:vertAlign w:val="subscript"/>
        </w:rPr>
        <w:t>ВОХР</w:t>
      </w:r>
      <w:r>
        <w:rPr>
          <w:sz w:val="28"/>
          <w:szCs w:val="28"/>
        </w:rPr>
        <w:t xml:space="preserve"> + С</w:t>
      </w:r>
      <w:r>
        <w:rPr>
          <w:sz w:val="28"/>
          <w:szCs w:val="28"/>
          <w:vertAlign w:val="subscript"/>
        </w:rPr>
        <w:t>ТСО</w:t>
      </w:r>
      <w:r>
        <w:rPr>
          <w:sz w:val="28"/>
          <w:szCs w:val="28"/>
        </w:rPr>
        <w:t xml:space="preserve"> [+ С</w:t>
      </w:r>
      <w:r>
        <w:rPr>
          <w:sz w:val="28"/>
          <w:szCs w:val="28"/>
          <w:vertAlign w:val="subscript"/>
        </w:rPr>
        <w:t>СС</w:t>
      </w:r>
      <w:r>
        <w:rPr>
          <w:sz w:val="28"/>
          <w:szCs w:val="28"/>
        </w:rPr>
        <w:t>] + С</w:t>
      </w:r>
      <w:r>
        <w:rPr>
          <w:sz w:val="28"/>
          <w:szCs w:val="28"/>
          <w:vertAlign w:val="subscript"/>
        </w:rPr>
        <w:t>ДОП</w:t>
      </w:r>
      <w:r>
        <w:rPr>
          <w:sz w:val="28"/>
          <w:szCs w:val="28"/>
        </w:rPr>
        <w:t>) × I</w:t>
      </w:r>
      <w:r>
        <w:rPr>
          <w:sz w:val="28"/>
          <w:szCs w:val="28"/>
          <w:vertAlign w:val="subscript"/>
        </w:rPr>
        <w:t>инфл</w:t>
      </w:r>
      <w:r>
        <w:rPr>
          <w:sz w:val="28"/>
          <w:szCs w:val="28"/>
        </w:rPr>
        <w:t xml:space="preserve"> + НДС (3),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ВОХР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услуг по физической охране;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ТСО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услуг по проектированию, монтажу, техническому обслуживанию и мониторингу ТСО (определяется в соответствии с главой VI настоящего Порядка);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СС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услуг по содержанию и применению служебных собак (определяется в соответствии с главой VII настоящего Порядка). Показатель С</w:t>
      </w:r>
      <w:r>
        <w:rPr>
          <w:sz w:val="28"/>
          <w:szCs w:val="28"/>
          <w:vertAlign w:val="subscript"/>
        </w:rPr>
        <w:t>СС</w:t>
      </w:r>
      <w:r>
        <w:rPr>
          <w:sz w:val="28"/>
          <w:szCs w:val="28"/>
        </w:rPr>
        <w:t xml:space="preserve"> включается в расчет только в случае, если планом или паспортом обеспечения транспортной безопасности объекта предусмотрено применение служебных собак;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ДОП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услуг, указанных в подпунктах «в», «г», «е» пункта 2 настоящего Порядка;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I</w:t>
      </w:r>
      <w:r>
        <w:rPr>
          <w:sz w:val="28"/>
          <w:szCs w:val="28"/>
          <w:vertAlign w:val="subscript"/>
        </w:rPr>
        <w:t>инфл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индекс потребительских цен, определяемый в соответствии с одобренным Правительством Российской Федерации на соответствующий календарный год прогнозом социально-экономического развития Российской Федерации на среднесрочный период в соответствии со статьей 26 Федерального закона от 28 июня 2014 г. № 172-ФЗ «О стратегическом планировании в Российской Федерации» (далее </w:t>
      </w:r>
      <w:r>
        <w:rPr/>
        <w:t xml:space="preserve">– </w:t>
      </w:r>
      <w:r>
        <w:rPr>
          <w:sz w:val="28"/>
          <w:szCs w:val="28"/>
        </w:rPr>
        <w:t>Закон о стратегическом планировании);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НДС </w:t>
      </w:r>
      <w:r>
        <w:rPr/>
        <w:t>–</w:t>
      </w:r>
      <w:r>
        <w:rPr>
          <w:sz w:val="28"/>
          <w:szCs w:val="28"/>
        </w:rPr>
        <w:t xml:space="preserve"> налог на добавленную стоимость.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12. Стоимость услуг по физической охране (С</w:t>
      </w:r>
      <w:r>
        <w:rPr>
          <w:sz w:val="28"/>
          <w:szCs w:val="28"/>
          <w:vertAlign w:val="subscript"/>
        </w:rPr>
        <w:t>ВОХР</w:t>
      </w:r>
      <w:r>
        <w:rPr>
          <w:sz w:val="28"/>
          <w:szCs w:val="28"/>
        </w:rPr>
        <w:t>) по всем постам k от 1 до n рассчитывается по формуле (4):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ВОХР</w:t>
      </w:r>
      <w:r>
        <w:rPr>
          <w:sz w:val="28"/>
          <w:szCs w:val="28"/>
        </w:rPr>
        <w:t xml:space="preserve"> = Σ ( С</w:t>
      </w:r>
      <w:r>
        <w:rPr>
          <w:sz w:val="28"/>
          <w:szCs w:val="28"/>
          <w:vertAlign w:val="subscript"/>
        </w:rPr>
        <w:t>ПЧ</w:t>
      </w:r>
      <w:r>
        <w:rPr>
          <w:sz w:val="28"/>
          <w:szCs w:val="28"/>
        </w:rPr>
        <w:t xml:space="preserve"> × К</w:t>
      </w:r>
      <w:r>
        <w:rPr>
          <w:sz w:val="28"/>
          <w:szCs w:val="28"/>
          <w:vertAlign w:val="subscript"/>
        </w:rPr>
        <w:t>ПЧ</w:t>
      </w:r>
      <w:r>
        <w:rPr>
          <w:sz w:val="28"/>
          <w:szCs w:val="28"/>
        </w:rPr>
        <w:t xml:space="preserve"> ) (4),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ПЧ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одного посто-часа охраны (в рублях);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ПЧ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количество посто-часов по k-му посту в соответствии с условиями контракта;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n </w:t>
      </w:r>
      <w:r>
        <w:rPr/>
        <w:t>–</w:t>
      </w:r>
      <w:r>
        <w:rPr>
          <w:sz w:val="28"/>
          <w:szCs w:val="28"/>
        </w:rPr>
        <w:t xml:space="preserve"> количество постов, предусмотренных контрактом.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13. Стоимость одного посто-часа (С</w:t>
      </w:r>
      <w:r>
        <w:rPr>
          <w:sz w:val="28"/>
          <w:szCs w:val="28"/>
          <w:vertAlign w:val="subscript"/>
        </w:rPr>
        <w:t>ПЧ</w:t>
      </w:r>
      <w:r>
        <w:rPr>
          <w:sz w:val="28"/>
          <w:szCs w:val="28"/>
        </w:rPr>
        <w:t>) рассчитывается по формуле (5):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ПЧ</w:t>
      </w:r>
      <w:r>
        <w:rPr>
          <w:sz w:val="28"/>
          <w:szCs w:val="28"/>
        </w:rPr>
        <w:t xml:space="preserve"> = С</w:t>
      </w:r>
      <w:r>
        <w:rPr>
          <w:sz w:val="28"/>
          <w:szCs w:val="28"/>
          <w:vertAlign w:val="subscript"/>
        </w:rPr>
        <w:t>КП</w:t>
      </w:r>
      <w:r>
        <w:rPr>
          <w:sz w:val="28"/>
          <w:szCs w:val="28"/>
        </w:rPr>
        <w:t xml:space="preserve"> / 730 (732) (5),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КП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содержания одного круглосуточного поста в месяц;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730 (732) </w:t>
      </w:r>
      <w:r>
        <w:rPr/>
        <w:t>–</w:t>
      </w:r>
      <w:r>
        <w:rPr>
          <w:sz w:val="28"/>
          <w:szCs w:val="28"/>
        </w:rPr>
        <w:t xml:space="preserve"> среднемесячное количество часов при круглосуточном режиме работы (для невисокосного и високосного года соответственно).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14. Стоимость содержания одного круглосуточного поста в месяц (С</w:t>
      </w:r>
      <w:r>
        <w:rPr>
          <w:sz w:val="28"/>
          <w:szCs w:val="28"/>
          <w:vertAlign w:val="subscript"/>
        </w:rPr>
        <w:t>КП</w:t>
      </w:r>
      <w:r>
        <w:rPr>
          <w:sz w:val="28"/>
          <w:szCs w:val="28"/>
        </w:rPr>
        <w:t>) определяется по формуле (6):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КП</w:t>
      </w:r>
      <w:r>
        <w:rPr>
          <w:sz w:val="28"/>
          <w:szCs w:val="28"/>
        </w:rPr>
        <w:t xml:space="preserve"> = ( Р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</w:rPr>
        <w:t xml:space="preserve"> + П ) × Ч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× G (6),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прямые расходы на одного работника в месяц, определяемые в соответствии с пунктом 15 настоящего Порядка;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косвенные расходы, определяемые в размере 20% от прямых расходов;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П </w:t>
      </w:r>
      <w:r>
        <w:rPr/>
        <w:t>–</w:t>
      </w:r>
      <w:r>
        <w:rPr>
          <w:sz w:val="28"/>
          <w:szCs w:val="28"/>
        </w:rPr>
        <w:t xml:space="preserve"> плановая прибыль, определяемая в размере 5% от суммы прямых и косвенных расходов;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численность работников, необходимая для закрытия одного круглосуточного поста: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для объектов, охраняемых ведомственной охраной Министерства транспорта Российской Федерации, </w:t>
      </w:r>
      <w:r>
        <w:rPr/>
        <w:t>–</w:t>
      </w:r>
      <w:r>
        <w:rPr>
          <w:sz w:val="28"/>
          <w:szCs w:val="28"/>
        </w:rPr>
        <w:t xml:space="preserve"> в соответствии с пунктом 11 Положения о ведомственной охране Министерства транспорта Российской Федерации, утвержденного постановлением Правительства Российской Федерации от 11 октября 2001 г. № 743, из расчета 6,5 единицы на круглосуточный пост (для объектов, расположенных в районах Крайнего Севера и приравненных к ним местностях, </w:t>
      </w:r>
      <w:r>
        <w:rPr/>
        <w:t>–</w:t>
      </w:r>
      <w:r>
        <w:rPr>
          <w:sz w:val="28"/>
          <w:szCs w:val="28"/>
        </w:rPr>
        <w:t xml:space="preserve"> 7,2 единицы);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для объектов, охраняемых ведомственной охраной Федерального агентства железнодорожного транспорта, </w:t>
      </w:r>
      <w:r>
        <w:rPr/>
        <w:t>–</w:t>
      </w:r>
      <w:r>
        <w:rPr>
          <w:sz w:val="28"/>
          <w:szCs w:val="28"/>
        </w:rPr>
        <w:t xml:space="preserve"> в соответствии с пунктом 10 Положения о ведомственной охране Федерального агентства железнодорожного транспорта, утвержденного постановлением Правительства Российской Федерации от 27 июня 2009 г. № 540, из расчета 6,5 единицы на круглосуточный пост по охране наиболее важных объектов железнодорожного транспорта общего пользования (для указанных объектов, расположенных в районах Крайнего Севера и приравненных к ним местностях, </w:t>
      </w:r>
      <w:r>
        <w:rPr/>
        <w:t>–</w:t>
      </w:r>
      <w:r>
        <w:rPr>
          <w:sz w:val="28"/>
          <w:szCs w:val="28"/>
        </w:rPr>
        <w:t xml:space="preserve"> не менее 7 единиц);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G </w:t>
      </w:r>
      <w:r>
        <w:rPr/>
        <w:t>–</w:t>
      </w:r>
      <w:r>
        <w:rPr>
          <w:sz w:val="28"/>
          <w:szCs w:val="28"/>
        </w:rPr>
        <w:t xml:space="preserve"> повышающий коэффициент, учитывающий особые условия оказания услуг: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подвижной пост на транспортном средстве исполнителя </w:t>
      </w:r>
      <w:r>
        <w:rPr/>
        <w:t>–</w:t>
      </w:r>
      <w:r>
        <w:rPr>
          <w:sz w:val="28"/>
          <w:szCs w:val="28"/>
        </w:rPr>
        <w:t xml:space="preserve"> 1,5;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оказание услуг вахтовым методом </w:t>
      </w:r>
      <w:r>
        <w:rPr/>
        <w:t>–</w:t>
      </w:r>
      <w:r>
        <w:rPr>
          <w:sz w:val="28"/>
          <w:szCs w:val="28"/>
        </w:rPr>
        <w:t xml:space="preserve"> 1,3;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стандартный стационарный пост </w:t>
      </w:r>
      <w:r>
        <w:rPr/>
        <w:t>–</w:t>
      </w:r>
      <w:r>
        <w:rPr>
          <w:sz w:val="28"/>
          <w:szCs w:val="28"/>
        </w:rPr>
        <w:t xml:space="preserve"> 1,0.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15. Прямые расходы на одного работника (Р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>) в месяц рассчитываются по формуле (7):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= ФОТ + СВ + Р</w:t>
      </w:r>
      <w:r>
        <w:rPr>
          <w:sz w:val="28"/>
          <w:szCs w:val="28"/>
          <w:vertAlign w:val="subscript"/>
        </w:rPr>
        <w:t>77фз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16фз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 xml:space="preserve">прочие </w:t>
      </w:r>
      <w:r>
        <w:rPr>
          <w:sz w:val="28"/>
          <w:szCs w:val="28"/>
        </w:rPr>
        <w:t>(7),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ФОТ </w:t>
      </w:r>
      <w:r>
        <w:rPr/>
        <w:t>–</w:t>
      </w:r>
      <w:r>
        <w:rPr>
          <w:sz w:val="28"/>
          <w:szCs w:val="28"/>
        </w:rPr>
        <w:t xml:space="preserve"> расходы на оплату труда одного работника с учетом доплат, надбавок, районных коэффициентов и корректирующих коэффициентов, определяемые согласно пункту 16 настоящего Порядка;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СВ </w:t>
      </w:r>
      <w:r>
        <w:rPr/>
        <w:t>–</w:t>
      </w:r>
      <w:r>
        <w:rPr>
          <w:sz w:val="28"/>
          <w:szCs w:val="28"/>
        </w:rPr>
        <w:t xml:space="preserve"> страховые взносы, исчисляемые от ФОТ, которые включают: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страховые взносы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страхование, уплачиваемые по единому тарифу, установленному пунктом 3 статьи 425 Налогового кодекса Российской Федерации;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страховые взносы на обязательное социальное страхование от несчастных случаев на производстве и профессиональных заболеваний, уплачиваемые по страховым тарифам, установленным Федеральным законом от 22 декабря 2005 г. № 179-ФЗ «О страховых тарифах на обязательное социальное страхование от несчастных случаев на производстве и профессиональных заболеваний на 2006 год» для соответствующего класса профессионального риска, к которому относится исполнитель;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77фз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расходы на исполнение требований статьи 6 Федерального закона № 77-ФЗ</w:t>
      </w:r>
      <w:r>
        <w:rPr>
          <w:rStyle w:val="Annotationreference"/>
          <w:rFonts w:ascii="Calibri" w:hAnsi="Calibri"/>
          <w:lang w:val="ru-RU" w:eastAsia="en-US" w:bidi="ar-SA"/>
        </w:rPr>
        <w:t>.</w:t>
      </w:r>
      <w:r>
        <w:rPr>
          <w:sz w:val="28"/>
          <w:szCs w:val="28"/>
        </w:rPr>
        <w:t xml:space="preserve"> Принимаются в размере 6,5% от ФОТ;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16фз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расходы на исполнение требований статей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и 12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Федерального закона № 16-ФЗ</w:t>
      </w:r>
      <w:r>
        <w:rPr>
          <w:rStyle w:val="Annotationreference"/>
          <w:rFonts w:ascii="Calibri" w:hAnsi="Calibri"/>
          <w:lang w:val="ru-RU" w:eastAsia="en-US" w:bidi="ar-SA"/>
        </w:rPr>
        <w:t>.</w:t>
      </w:r>
      <w:r>
        <w:rPr>
          <w:sz w:val="28"/>
          <w:szCs w:val="28"/>
        </w:rPr>
        <w:t xml:space="preserve"> Принимаются в размере не более 5% от ФОТ и включаются в расчет только при представлении исполнителем подтверждающих документов (договоры, платежные поручения, счета);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прочие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иные документально подтвержденные обязательные расходы (например, компенсация проезда к месту отпуска и провоза багажа для работников в районах Крайнего Севера в соответствии со статьей 325 Трудового кодекса Российской Федерации). Включаются в расчет только при представлении обосновывающих документов и не могут превышать 2% от ФОТ.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16. Расходы на оплату труда (ФОТ) одного работника в месяц рассчитываются исходя из установленного на дату расчета минимального размера оплаты труда (МРОТ), а также доплат и надбавок, предусмотренных Трудовым кодексом Российской Федерации, с применением корректирующих коэффициентов: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ФОТ = БЗП × (1 + U</w:t>
      </w:r>
      <w:r>
        <w:rPr>
          <w:sz w:val="28"/>
          <w:szCs w:val="28"/>
          <w:vertAlign w:val="subscript"/>
        </w:rPr>
        <w:t>сумм</w:t>
      </w:r>
      <w:r>
        <w:rPr>
          <w:sz w:val="28"/>
          <w:szCs w:val="28"/>
        </w:rPr>
        <w:t>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БЗП </w:t>
      </w:r>
      <w:r>
        <w:rPr/>
        <w:t>–</w:t>
      </w:r>
      <w:r>
        <w:rPr>
          <w:sz w:val="28"/>
          <w:szCs w:val="28"/>
        </w:rPr>
        <w:t xml:space="preserve"> базовая заработная плата работника (МРОТ с учетом доплаты за работу в ночное время, выходные и нерабочие праздничные дни, районных коэффициентов и процентных надбавок, определенных в соответствии с законодательством Российской Федерации);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U</w:t>
      </w:r>
      <w:r>
        <w:rPr>
          <w:sz w:val="28"/>
          <w:szCs w:val="28"/>
          <w:vertAlign w:val="subscript"/>
        </w:rPr>
        <w:t>сумм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сумма следующих корректирующих коэффициентов, отражающих характер работы, выполняемой работниками ведомственной охраны при оказании услуг по защите объектов транспортной инфраструктуры: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наличие у работника специальных средств – 0,05;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наличие у работника служебного огнестрельного оружия – 0,20;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наличие у работника боевого ручного стрелкового оружия</w:t>
        <w:tab/>
        <w:t>– 0,30;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охрана объектов, на которых установлены обязательные требования к антитеррористической защищенности – 0,10;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наличие у работника допуска к государственной тайне и функционирование режимно-секретного подразделения – 0,05;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выполнение работ, связанных с эксплуатацией средств обнаружения и противодействия беспилотным аппаратам (при условии включения таких работ в план обеспечения транспортной безопасности и наличия соответствующих технических средств на объекте) –</w:t>
        <w:tab/>
        <w:t>0,30.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Суммарное значение корректирующих коэффициентов (U</w:t>
      </w:r>
      <w:r>
        <w:rPr>
          <w:sz w:val="28"/>
          <w:szCs w:val="28"/>
          <w:vertAlign w:val="subscript"/>
        </w:rPr>
        <w:t>сумм</w:t>
      </w:r>
      <w:r>
        <w:rPr>
          <w:sz w:val="28"/>
          <w:szCs w:val="28"/>
        </w:rPr>
        <w:t>) не может превышать 0,5.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17. Начальная цена единицы услуги для целей настоящего Порядка определяется как стоимость единицы измерения соответствующей услуги, рассчитанная по формулам, предусмотренным настоящим Порядком: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а) для услуг физической охраны начальной ценой единицы является стоимость одного посто-часа (С</w:t>
      </w:r>
      <w:r>
        <w:rPr>
          <w:sz w:val="28"/>
          <w:szCs w:val="28"/>
          <w:vertAlign w:val="subscript"/>
        </w:rPr>
        <w:t>ПЧ</w:t>
      </w:r>
      <w:r>
        <w:rPr>
          <w:sz w:val="28"/>
          <w:szCs w:val="28"/>
        </w:rPr>
        <w:t>), рассчитанная в соответствии с пунктами 13–16 настоящего Порядка;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б) для услуг по досмотру начальной ценой единицы является стоимость единицы досмотрового мероприятия (С</w:t>
      </w:r>
      <w:r>
        <w:rPr>
          <w:sz w:val="28"/>
          <w:szCs w:val="28"/>
          <w:vertAlign w:val="subscript"/>
        </w:rPr>
        <w:t>ЕД</w:t>
      </w:r>
      <w:r>
        <w:rPr>
          <w:sz w:val="28"/>
          <w:szCs w:val="28"/>
        </w:rPr>
        <w:t>), рассчитанная в соответствии с главой V настоящего Порядка;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в) для услуг по проектированию, монтажу, техническому обслуживанию и мониторингу ТСО начальными ценами единиц являются соответствующие единичные расценки (С</w:t>
      </w:r>
      <w:r>
        <w:rPr>
          <w:sz w:val="28"/>
          <w:szCs w:val="28"/>
          <w:vertAlign w:val="subscript"/>
        </w:rPr>
        <w:t>то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мо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>), определенные в соответствии с главой VI настоящего Порядка.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V. Определение стоимости услуг по досмотру 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18. В случае если контрактом предусмотрено оказание услуг по досмотру, стоимость таких услуг (С</w:t>
      </w:r>
      <w:r>
        <w:rPr>
          <w:sz w:val="28"/>
          <w:szCs w:val="28"/>
          <w:vertAlign w:val="subscript"/>
        </w:rPr>
        <w:t>ДОС</w:t>
      </w:r>
      <w:r>
        <w:rPr>
          <w:sz w:val="28"/>
          <w:szCs w:val="28"/>
        </w:rPr>
        <w:t>) рассчитывается по формуле (8):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ДОС</w:t>
      </w:r>
      <w:r>
        <w:rPr>
          <w:sz w:val="28"/>
          <w:szCs w:val="28"/>
        </w:rPr>
        <w:t xml:space="preserve"> = С</w:t>
      </w:r>
      <w:r>
        <w:rPr>
          <w:sz w:val="28"/>
          <w:szCs w:val="28"/>
          <w:vertAlign w:val="subscript"/>
        </w:rPr>
        <w:t>ЕД</w:t>
      </w:r>
      <w:r>
        <w:rPr>
          <w:sz w:val="28"/>
          <w:szCs w:val="28"/>
        </w:rPr>
        <w:t xml:space="preserve"> × К</w:t>
      </w:r>
      <w:r>
        <w:rPr>
          <w:sz w:val="28"/>
          <w:szCs w:val="28"/>
          <w:vertAlign w:val="subscript"/>
        </w:rPr>
        <w:t xml:space="preserve">Д </w:t>
      </w:r>
      <w:r>
        <w:rPr>
          <w:sz w:val="28"/>
          <w:szCs w:val="28"/>
        </w:rPr>
        <w:t>(8),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ЕД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одной единицы досмотрового мероприятия, определяемая по результатам сбора ценовой информации в соответствии с главой III настоящего Порядка;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Д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планируемое количество единиц досмотровых мероприятий.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VI. Определение стоимости услуг </w:t>
      </w:r>
      <w:r>
        <w:rPr>
          <w:b/>
          <w:sz w:val="28"/>
          <w:szCs w:val="28"/>
        </w:rPr>
        <w:t>ТСО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19. Стоимость услуг по проектированию, монтажу, техническому обслуживанию, мониторингу состояния и реагированию на сигнальную информацию ТСО (С</w:t>
      </w:r>
      <w:r>
        <w:rPr>
          <w:sz w:val="28"/>
          <w:szCs w:val="28"/>
          <w:vertAlign w:val="subscript"/>
        </w:rPr>
        <w:t>ТСО</w:t>
      </w:r>
      <w:r>
        <w:rPr>
          <w:sz w:val="28"/>
          <w:szCs w:val="28"/>
        </w:rPr>
        <w:t>) рассчитывается по формуле (9):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ТСО</w:t>
      </w:r>
      <w:r>
        <w:rPr>
          <w:sz w:val="28"/>
          <w:szCs w:val="28"/>
        </w:rPr>
        <w:t xml:space="preserve"> = С</w:t>
      </w:r>
      <w:r>
        <w:rPr>
          <w:sz w:val="28"/>
          <w:szCs w:val="28"/>
          <w:vertAlign w:val="subscript"/>
        </w:rPr>
        <w:t>пм</w:t>
      </w:r>
      <w:r>
        <w:rPr>
          <w:sz w:val="28"/>
          <w:szCs w:val="28"/>
        </w:rPr>
        <w:t xml:space="preserve"> + С</w:t>
      </w:r>
      <w:r>
        <w:rPr>
          <w:sz w:val="28"/>
          <w:szCs w:val="28"/>
          <w:vertAlign w:val="subscript"/>
        </w:rPr>
        <w:t>то</w:t>
      </w:r>
      <w:r>
        <w:rPr>
          <w:sz w:val="28"/>
          <w:szCs w:val="28"/>
        </w:rPr>
        <w:t xml:space="preserve"> × К</w:t>
      </w:r>
      <w:r>
        <w:rPr>
          <w:sz w:val="28"/>
          <w:szCs w:val="28"/>
          <w:vertAlign w:val="subscript"/>
        </w:rPr>
        <w:t>то</w:t>
      </w:r>
      <w:r>
        <w:rPr>
          <w:sz w:val="28"/>
          <w:szCs w:val="28"/>
        </w:rPr>
        <w:t xml:space="preserve"> + С</w:t>
      </w:r>
      <w:r>
        <w:rPr>
          <w:sz w:val="28"/>
          <w:szCs w:val="28"/>
          <w:vertAlign w:val="subscript"/>
        </w:rPr>
        <w:t>мо</w:t>
      </w:r>
      <w:r>
        <w:rPr>
          <w:sz w:val="28"/>
          <w:szCs w:val="28"/>
        </w:rPr>
        <w:t xml:space="preserve"> × К</w:t>
      </w:r>
      <w:r>
        <w:rPr>
          <w:sz w:val="28"/>
          <w:szCs w:val="28"/>
          <w:vertAlign w:val="subscript"/>
        </w:rPr>
        <w:t>мо</w:t>
      </w:r>
      <w:r>
        <w:rPr>
          <w:sz w:val="28"/>
          <w:szCs w:val="28"/>
        </w:rPr>
        <w:t xml:space="preserve"> + С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× К</w:t>
      </w:r>
      <w:r>
        <w:rPr>
          <w:sz w:val="28"/>
          <w:szCs w:val="28"/>
          <w:vertAlign w:val="subscript"/>
        </w:rPr>
        <w:t xml:space="preserve">р </w:t>
      </w:r>
      <w:r>
        <w:rPr>
          <w:sz w:val="28"/>
          <w:szCs w:val="28"/>
        </w:rPr>
        <w:t>(9),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пм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работ по проектированию и монтажу, определяемая на основании сметной стоимости.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В случае если контрактом предусматривается приобретение оборудования (технических средств обеспечения транспортной безопасности, указанных в подпункте «б» пункта 2 настоящего Порядка), его стоимость учитывается в составе С</w:t>
      </w:r>
      <w:r>
        <w:rPr>
          <w:sz w:val="28"/>
          <w:szCs w:val="28"/>
          <w:vertAlign w:val="subscript"/>
        </w:rPr>
        <w:t>пм</w:t>
      </w:r>
      <w:r>
        <w:rPr>
          <w:sz w:val="28"/>
          <w:szCs w:val="28"/>
        </w:rPr>
        <w:t xml:space="preserve"> и рассчитывается по формуле (10):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пмобор</w:t>
      </w:r>
      <w:r>
        <w:rPr>
          <w:sz w:val="28"/>
          <w:szCs w:val="28"/>
        </w:rPr>
        <w:t xml:space="preserve"> = Ц</w:t>
      </w:r>
      <w:r>
        <w:rPr>
          <w:sz w:val="28"/>
          <w:szCs w:val="28"/>
          <w:vertAlign w:val="subscript"/>
        </w:rPr>
        <w:t>обор</w:t>
      </w:r>
      <w:r>
        <w:rPr>
          <w:sz w:val="28"/>
          <w:szCs w:val="28"/>
        </w:rPr>
        <w:t xml:space="preserve"> / СПИ × (Кол</w:t>
      </w:r>
      <w:r>
        <w:rPr>
          <w:sz w:val="28"/>
          <w:szCs w:val="28"/>
          <w:vertAlign w:val="subscript"/>
        </w:rPr>
        <w:t>мес</w:t>
      </w:r>
      <w:r>
        <w:rPr>
          <w:sz w:val="28"/>
          <w:szCs w:val="28"/>
        </w:rPr>
        <w:t xml:space="preserve"> / 12) / n</w:t>
      </w:r>
      <w:r>
        <w:rPr>
          <w:sz w:val="28"/>
          <w:szCs w:val="28"/>
          <w:vertAlign w:val="subscript"/>
        </w:rPr>
        <w:t xml:space="preserve">постов </w:t>
      </w:r>
      <w:r>
        <w:rPr>
          <w:sz w:val="28"/>
          <w:szCs w:val="28"/>
        </w:rPr>
        <w:t>(10),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Ц</w:t>
      </w:r>
      <w:r>
        <w:rPr>
          <w:sz w:val="28"/>
          <w:szCs w:val="28"/>
          <w:vertAlign w:val="subscript"/>
        </w:rPr>
        <w:t>обор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цена оборудования, определенная по результатам сбора ценовой информации в соответствии с главой III настоящего Порядка;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СПИ </w:t>
      </w:r>
      <w:r>
        <w:rPr/>
        <w:t>–</w:t>
      </w:r>
      <w:r>
        <w:rPr>
          <w:sz w:val="28"/>
          <w:szCs w:val="28"/>
        </w:rPr>
        <w:t xml:space="preserve"> срок полезного использования оборудования в месяцах;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Кол</w:t>
      </w:r>
      <w:r>
        <w:rPr>
          <w:sz w:val="28"/>
          <w:szCs w:val="28"/>
          <w:vertAlign w:val="subscript"/>
        </w:rPr>
        <w:t>мес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количество месяцев действия контракта;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постов</w:t>
      </w:r>
      <w:r>
        <w:rPr>
          <w:sz w:val="28"/>
          <w:szCs w:val="28"/>
        </w:rPr>
        <w:t xml:space="preserve"> </w:t>
      </w:r>
      <w:r>
        <w:rPr/>
        <w:t xml:space="preserve">– </w:t>
      </w:r>
      <w:r>
        <w:rPr>
          <w:sz w:val="28"/>
          <w:szCs w:val="28"/>
        </w:rPr>
        <w:t>количество постов, на которых используется данное оборудование;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то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ежемесячного (ежеквартального) технического обслуживания одного комплекса/системы;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то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количество обслуживаемых комплексов/систем;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мо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мониторинга состояния одного объекта;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мо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количество объектов, находящихся под мониторингом;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одного выезда группы реагирования;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планируемое количество выездов.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20. Цены единиц услуг (С</w:t>
      </w:r>
      <w:r>
        <w:rPr>
          <w:sz w:val="28"/>
          <w:szCs w:val="28"/>
          <w:vertAlign w:val="subscript"/>
        </w:rPr>
        <w:t>то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мо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>), а также цена оборудования Ц</w:t>
      </w:r>
      <w:r>
        <w:rPr>
          <w:sz w:val="28"/>
          <w:szCs w:val="28"/>
          <w:vertAlign w:val="subscript"/>
        </w:rPr>
        <w:t>обор</w:t>
      </w:r>
      <w:r>
        <w:rPr>
          <w:sz w:val="28"/>
          <w:szCs w:val="28"/>
        </w:rPr>
        <w:t xml:space="preserve"> для расчета С</w:t>
      </w:r>
      <w:r>
        <w:rPr>
          <w:sz w:val="28"/>
          <w:szCs w:val="28"/>
          <w:vertAlign w:val="subscript"/>
        </w:rPr>
        <w:t>пмобор</w:t>
      </w:r>
      <w:r>
        <w:rPr>
          <w:sz w:val="28"/>
          <w:szCs w:val="28"/>
        </w:rPr>
        <w:t xml:space="preserve"> определяются на основании информации, полученной в соответствии с главой III настоящего Порядка.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VII. Определение стоимости услуг по использованию служебных собак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21. Стоимость услуг по </w:t>
      </w:r>
      <w:r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служебных собак (С</w:t>
      </w:r>
      <w:r>
        <w:rPr>
          <w:sz w:val="28"/>
          <w:szCs w:val="28"/>
          <w:vertAlign w:val="subscript"/>
        </w:rPr>
        <w:t>СС</w:t>
      </w:r>
      <w:r>
        <w:rPr>
          <w:sz w:val="28"/>
          <w:szCs w:val="28"/>
        </w:rPr>
        <w:t>) рассчитывается в случае, если планом или паспортом обеспечения транспортной безопасности объекта транспортной инфраструктуры предусмотрено использование служебных собак, по формуле (11):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СС</w:t>
      </w:r>
      <w:r>
        <w:rPr>
          <w:sz w:val="28"/>
          <w:szCs w:val="28"/>
        </w:rPr>
        <w:t xml:space="preserve"> = Ч</w:t>
      </w:r>
      <w:r>
        <w:rPr>
          <w:sz w:val="28"/>
          <w:szCs w:val="28"/>
          <w:vertAlign w:val="subscript"/>
        </w:rPr>
        <w:t>собак</w:t>
      </w:r>
      <w:r>
        <w:rPr>
          <w:sz w:val="28"/>
          <w:szCs w:val="28"/>
        </w:rPr>
        <w:t xml:space="preserve"> × (С</w:t>
      </w:r>
      <w:r>
        <w:rPr>
          <w:sz w:val="28"/>
          <w:szCs w:val="28"/>
          <w:vertAlign w:val="subscript"/>
        </w:rPr>
        <w:t>содержмес</w:t>
      </w:r>
      <w:r>
        <w:rPr>
          <w:sz w:val="28"/>
          <w:szCs w:val="28"/>
        </w:rPr>
        <w:t xml:space="preserve"> × Кол</w:t>
      </w:r>
      <w:r>
        <w:rPr>
          <w:sz w:val="28"/>
          <w:szCs w:val="28"/>
          <w:vertAlign w:val="subscript"/>
        </w:rPr>
        <w:t>мес</w:t>
      </w:r>
      <w:r>
        <w:rPr>
          <w:sz w:val="28"/>
          <w:szCs w:val="28"/>
        </w:rPr>
        <w:t xml:space="preserve"> + С</w:t>
      </w:r>
      <w:r>
        <w:rPr>
          <w:sz w:val="28"/>
          <w:szCs w:val="28"/>
          <w:vertAlign w:val="subscript"/>
        </w:rPr>
        <w:t>приобрет</w:t>
      </w:r>
      <w:r>
        <w:rPr>
          <w:sz w:val="28"/>
          <w:szCs w:val="28"/>
        </w:rPr>
        <w:t>) (11),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собак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количество служебных собак, необходимое для выполнения условий контракта в соответствии с планом обеспечения транспортной безопасности (не более одной собаки на одного кинолога в смену);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содержмес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содержания одной служебной собаки в месяц, включающая расходы на кормление, ветеринарное обслуживание, медикаменты, инвентарь, амортизацию ветеринарной аптечки, приобретение имитаторов запахов, дезинфекцию. Определяется как среднее арифметическое из не менее чем трех предложений поставщиков, полученных в порядке главы III настоящего Порядка;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Кол</w:t>
      </w:r>
      <w:r>
        <w:rPr>
          <w:sz w:val="28"/>
          <w:szCs w:val="28"/>
          <w:vertAlign w:val="subscript"/>
        </w:rPr>
        <w:t>мес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количество месяцев содержания собак, предусмотренных контрактом;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приобрет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стоимость приобретения служебной собаки (в случае если приобретение предусмотрено контрактом), определяемая в порядке главы III настоящего Порядка.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VIII. Применение индексов потребительских цен и прогнозных показателей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22. При расчете НМЦК, Цены контракта, Начальной цены на период более одного календарного месяца применяется индекс потребительских цен </w:t>
      </w:r>
      <w:r>
        <w:rPr>
          <w:sz w:val="28"/>
          <w:szCs w:val="28"/>
        </w:rPr>
        <w:t>(далее – ИПЦ)</w:t>
      </w:r>
      <w:r>
        <w:rPr>
          <w:sz w:val="28"/>
          <w:szCs w:val="28"/>
        </w:rPr>
        <w:t>, определяемый в соответствии с одобренным Правительством Российской Федерации на соответствующий календарный год прогнозом социально-экономического развития Российской Федерации на среднесрочный период в соответствии со статьей 26 Закона о стратегическом планировании.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23. В случае если срок действия контракта превышает срок прогноза, предусмотренного статьей 26 Закона о стратегическом планировании, для каждого последующего года используется значение ИПЦ, указанное для последнего года прогноза.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24. ИПЦ применяется пропорционально количеству месяцев оказания услуги. Коэффициент инфляции (I</w:t>
      </w:r>
      <w:r>
        <w:rPr>
          <w:sz w:val="28"/>
          <w:szCs w:val="28"/>
          <w:vertAlign w:val="subscript"/>
        </w:rPr>
        <w:t>инфл</w:t>
      </w:r>
      <w:r>
        <w:rPr>
          <w:sz w:val="28"/>
          <w:szCs w:val="28"/>
        </w:rPr>
        <w:t>) рассчитывается как среднее арифметическое годовых индексов потребительских цен за весь срок действия контракта: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I</w:t>
      </w:r>
      <w:r>
        <w:rPr>
          <w:sz w:val="28"/>
          <w:szCs w:val="28"/>
          <w:vertAlign w:val="subscript"/>
        </w:rPr>
        <w:t>инфл</w:t>
      </w:r>
      <w:r>
        <w:rPr>
          <w:sz w:val="28"/>
          <w:szCs w:val="28"/>
        </w:rPr>
        <w:t xml:space="preserve"> = (ИПЦ</w:t>
      </w:r>
      <w:r>
        <w:rPr>
          <w:sz w:val="28"/>
          <w:szCs w:val="28"/>
          <w:vertAlign w:val="subscript"/>
        </w:rPr>
        <w:t>год1</w:t>
      </w:r>
      <w:r>
        <w:rPr>
          <w:sz w:val="28"/>
          <w:szCs w:val="28"/>
        </w:rPr>
        <w:t xml:space="preserve"> + ИПЦ</w:t>
      </w:r>
      <w:r>
        <w:rPr>
          <w:sz w:val="28"/>
          <w:szCs w:val="28"/>
          <w:vertAlign w:val="subscript"/>
        </w:rPr>
        <w:t>год2</w:t>
      </w:r>
      <w:r>
        <w:rPr>
          <w:sz w:val="28"/>
          <w:szCs w:val="28"/>
        </w:rPr>
        <w:t xml:space="preserve"> + ... + ИПЦ</w:t>
      </w:r>
      <w:r>
        <w:rPr>
          <w:sz w:val="28"/>
          <w:szCs w:val="28"/>
          <w:vertAlign w:val="subscript"/>
        </w:rPr>
        <w:t>годN</w:t>
      </w:r>
      <w:r>
        <w:rPr>
          <w:sz w:val="28"/>
          <w:szCs w:val="28"/>
        </w:rPr>
        <w:t>) / N,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где: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ИПЦ</w:t>
      </w:r>
      <w:r>
        <w:rPr>
          <w:sz w:val="28"/>
          <w:szCs w:val="28"/>
          <w:vertAlign w:val="subscript"/>
        </w:rPr>
        <w:t>год</w:t>
      </w:r>
      <w:r>
        <w:rPr>
          <w:sz w:val="28"/>
          <w:szCs w:val="28"/>
        </w:rPr>
        <w:t xml:space="preserve"> </w:t>
      </w:r>
      <w:r>
        <w:rPr/>
        <w:t>–</w:t>
      </w:r>
      <w:r>
        <w:rPr>
          <w:sz w:val="28"/>
          <w:szCs w:val="28"/>
        </w:rPr>
        <w:t xml:space="preserve"> индекс потребительских цен на соответствующий календарный год, в долях единицы;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 xml:space="preserve">N </w:t>
      </w:r>
      <w:r>
        <w:rPr/>
        <w:t>–</w:t>
      </w:r>
      <w:r>
        <w:rPr>
          <w:sz w:val="28"/>
          <w:szCs w:val="28"/>
        </w:rPr>
        <w:t xml:space="preserve"> количество календарных лет действия контракта.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/>
      </w:pPr>
      <w:r>
        <w:rPr>
          <w:sz w:val="28"/>
          <w:szCs w:val="28"/>
        </w:rPr>
        <w:t>Если начало и окончание контракта приходятся на один и тот же календарный год, I</w:t>
      </w:r>
      <w:r>
        <w:rPr>
          <w:sz w:val="28"/>
          <w:szCs w:val="28"/>
          <w:vertAlign w:val="subscript"/>
        </w:rPr>
        <w:t>инфл</w:t>
      </w:r>
      <w:r>
        <w:rPr>
          <w:sz w:val="28"/>
          <w:szCs w:val="28"/>
        </w:rPr>
        <w:t xml:space="preserve"> принимается равным 1.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>IX. Особенности расчета цены контракта с единственным поставщиком (подрядчиком, исполнителем)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25. При заключении контракта с единственным поставщиком (подрядчиком, исполнителем) Цена контракта определяется в соответствии с главами IV–VII настоящего Порядка. Вместо сбора ценовой информации от нескольких источников может быть использовано обоснованное предложение единственного поставщика при условии проверки его соответствия среднерыночным показателям в данной отрасли.</w:t>
      </w:r>
    </w:p>
    <w:p>
      <w:pPr>
        <w:pStyle w:val="Normal"/>
        <w:bidi w:val="0"/>
        <w:spacing w:lineRule="auto" w:line="256" w:before="0" w:after="16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26. В случае отсутствия рыночных индикаторов на дату определения цены Цена контракта может быть определена путем индексации последнего известного значения цены контракта (НМЦК) на аналогичные услуги, рассчитанного в соответствии с настоящим Порядком, с применением ИПЦ.</w:t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color w:val="000000"/>
          <w:spacing w:val="0"/>
          <w:kern w:val="0"/>
          <w:sz w:val="28"/>
          <w:szCs w:val="28"/>
          <w:lang w:val="ru-RU"/>
        </w:rPr>
      </w:pPr>
      <w:r>
        <w:rPr>
          <w:b/>
          <w:bCs/>
          <w:color w:val="000000"/>
          <w:spacing w:val="0"/>
          <w:kern w:val="0"/>
          <w:sz w:val="28"/>
          <w:szCs w:val="28"/>
          <w:lang w:val="ru-RU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7" w:right="567" w:gutter="0" w:header="737" w:top="1296" w:footer="1134" w:bottom="1693"/>
      <w:pgNumType w:fmt="decimal"/>
      <w:formProt w:val="false"/>
      <w:titlePg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  <w:r>
      <mc:AlternateContent>
        <mc:Choice Requires="wps">
          <w:drawing>
            <wp:anchor behindDoc="0" distT="179705" distB="72390" distL="72390" distR="72390" simplePos="0" locked="0" layoutInCell="0" allowOverlap="1" relativeHeight="14">
              <wp:simplePos x="0" y="0"/>
              <wp:positionH relativeFrom="column">
                <wp:posOffset>5080</wp:posOffset>
              </wp:positionH>
              <wp:positionV relativeFrom="paragraph">
                <wp:posOffset>-10160</wp:posOffset>
              </wp:positionV>
              <wp:extent cx="1727835" cy="408940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835" cy="40894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spacing w:before="0" w:after="12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DOCVARIABLE ProjectNumber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2026-89886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53975" tIns="179705" rIns="179705" bIns="539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rotation:-0;width:136.05pt;height:32.2pt;mso-wrap-distance-left:5.7pt;mso-wrap-distance-right:5.7pt;mso-wrap-distance-top:14.15pt;mso-wrap-distance-bottom:5.7pt;margin-top:-0.8pt;mso-position-vertical-relative:text;margin-left:0.4pt;mso-position-horizontal-relative:text">
              <v:textbox inset="0.0590277777777778in,0.196527777777778in,0.196527777777778in,0.0590277777777778in">
                <w:txbxContent>
                  <w:p>
                    <w:pPr>
                      <w:pStyle w:val="Style22"/>
                      <w:spacing w:before="0" w:after="12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DOCVARIABLE ProjectNumber </w:instrText>
                    </w:r>
                    <w:r>
                      <w:rPr/>
                      <w:fldChar w:fldCharType="separate"/>
                    </w:r>
                    <w:r>
                      <w:rPr/>
                      <w:t>2026-89886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20320</wp:posOffset>
          </wp:positionH>
          <wp:positionV relativeFrom="paragraph">
            <wp:posOffset>32385</wp:posOffset>
          </wp:positionV>
          <wp:extent cx="1296035" cy="280670"/>
          <wp:effectExtent l="0" t="0" r="0" b="0"/>
          <wp:wrapTopAndBottom/>
          <wp:docPr id="2" name="SpdBarcod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dBarcod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280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yle21"/>
      <w:rPr/>
    </w:pPr>
    <w:r>
      <w:rPr/>
    </w:r>
    <w:r>
      <mc:AlternateContent>
        <mc:Choice Requires="wps">
          <w:drawing>
            <wp:anchor behindDoc="0" distT="179705" distB="72390" distL="72390" distR="72390" simplePos="0" locked="0" layoutInCell="0" allowOverlap="1" relativeHeight="3">
              <wp:simplePos x="0" y="0"/>
              <wp:positionH relativeFrom="column">
                <wp:posOffset>5080</wp:posOffset>
              </wp:positionH>
              <wp:positionV relativeFrom="paragraph">
                <wp:posOffset>138430</wp:posOffset>
              </wp:positionV>
              <wp:extent cx="1727835" cy="408940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835" cy="40894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spacing w:before="0" w:after="12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DOCVARIABLE ProjectNumber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2026-89886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53975" tIns="179705" rIns="179705" bIns="539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rotation:-0;width:136.05pt;height:32.2pt;mso-wrap-distance-left:5.7pt;mso-wrap-distance-right:5.7pt;mso-wrap-distance-top:14.15pt;mso-wrap-distance-bottom:5.7pt;margin-top:10.9pt;mso-position-vertical-relative:text;margin-left:0.4pt;mso-position-horizontal-relative:text">
              <v:textbox inset="0.0590277777777778in,0.196527777777778in,0.196527777777778in,0.0590277777777778in">
                <w:txbxContent>
                  <w:p>
                    <w:pPr>
                      <w:pStyle w:val="Style22"/>
                      <w:spacing w:before="0" w:after="12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DOCVARIABLE ProjectNumber </w:instrText>
                    </w:r>
                    <w:r>
                      <w:rPr/>
                      <w:fldChar w:fldCharType="separate"/>
                    </w:r>
                    <w:r>
                      <w:rPr/>
                      <w:t>2026-89886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docVars>
    <w:docVar w:name="ProjectNumber" w:val="2026-89886"/>
    <w:docVar w:name="Annotation" w:val="Об установл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при осуществлении закупок услуг по защите объектов транспортной инфраструктуры от актов незаконного вмешательства, в том числе защите от противоправных посягательств"/>
    <w:docVar w:name="PredsedatelIOF" w:val="М.А. Шаскольский"/>
    <w:docVar w:name="PredsedatelDolj" w:val="Руководитель"/>
    <w:docVar w:name="Name" w:val="Об установл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при осуществлении закупок услуг по защите объектов транспортной инфраструктуры от актов незаконного вмешательства, в том числе защите от противоправных посягательств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>
      <w:rFonts w:ascii="Times New Roman" w:hAnsi="Times New Roman"/>
      <w:sz w:val="24"/>
      <w:szCs w:val="24"/>
    </w:rPr>
  </w:style>
  <w:style w:type="character" w:styleId="Annotationreference">
    <w:name w:val="annotation reference"/>
    <w:basedOn w:val="DefaultParagraphFont"/>
    <w:qFormat/>
    <w:rPr>
      <w:rFonts w:ascii="Times New Roman" w:hAnsi="Times New Roman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yle20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1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Содержимое врезки"/>
    <w:basedOn w:val="Style16"/>
    <w:qFormat/>
    <w:pPr/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56" w:before="0" w:after="16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en-US" w:bidi="ar-SA"/>
    </w:rPr>
  </w:style>
  <w:style w:type="paragraph" w:styleId="Style24">
    <w:name w:val="Header"/>
    <w:basedOn w:val="Style20"/>
    <w:pPr>
      <w:suppressLineNumbers/>
      <w:tabs>
        <w:tab w:val="clear" w:pos="4819"/>
        <w:tab w:val="clear" w:pos="9638"/>
        <w:tab w:val="center" w:pos="4961" w:leader="none"/>
        <w:tab w:val="right" w:pos="9922" w:leader="none"/>
      </w:tabs>
    </w:pPr>
    <w:rPr/>
  </w:style>
  <w:style w:type="paragraph" w:styleId="Style25">
    <w:name w:val="Верхний колонтитул слева"/>
    <w:basedOn w:val="Style24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235</TotalTime>
  <Application>LibreOffice/7.4.1.2$Windows_X86_64 LibreOffice_project/3c58a8f3a960df8bc8fd77b461821e42c061c5f0</Application>
  <AppVersion>15.0000</AppVersion>
  <Pages>12</Pages>
  <Words>2641</Words>
  <Characters>18250</Characters>
  <CharactersWithSpaces>20895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2020-04-16T22:05:29Z</dcterms:created>
  <dc:creator/>
  <dc:description/>
  <dc:language>ru-RU</dc:language>
  <cp:lastModifiedBy/>
  <dcterms:modified xsi:type="dcterms:W3CDTF">2026-06-23T15:57:59Z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ContentHash">
    <vt:lpwstr>yQa/RnlioPCxmOiypiqifQ==</vt:lpwstr>
  </property>
  <property fmtid="{D5CDD505-2E9C-101B-9397-08002B2CF9AE}" pid="3" name="PreviousContentHash">
    <vt:lpwstr>83gjfkHpvec+FzuJb3RbrA==</vt:lpwstr>
  </property>
</Properties>
</file>