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5EC" w:rsidRDefault="00A535E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535EC" w:rsidRDefault="00A535E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535EC" w:rsidRDefault="00A535E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535EC" w:rsidRDefault="00A535E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535EC" w:rsidRDefault="00A535E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535EC" w:rsidRDefault="00A535E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535EC" w:rsidRDefault="00A535E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535EC" w:rsidRDefault="00A535E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535EC" w:rsidRDefault="007E27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ПРАВИТЕЛЬСТВО РОССИЙСКОЙ ФЕДЕРАЦИИ</w:t>
      </w:r>
    </w:p>
    <w:p w:rsidR="00A535EC" w:rsidRDefault="00A53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5EC" w:rsidRDefault="007E27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A535EC" w:rsidRDefault="00A535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35EC" w:rsidRDefault="007E27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от________________________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№ _____</w:t>
      </w:r>
    </w:p>
    <w:p w:rsidR="00A535EC" w:rsidRDefault="00A535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35EC" w:rsidRDefault="007E27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</w:p>
    <w:p w:rsidR="00A535EC" w:rsidRDefault="00A535E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535EC" w:rsidRDefault="007E27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некоторые акты Правительства </w:t>
      </w:r>
      <w:r>
        <w:rPr>
          <w:rFonts w:ascii="Times New Roman" w:hAnsi="Times New Roman" w:cs="Times New Roman"/>
          <w:b/>
          <w:sz w:val="28"/>
          <w:szCs w:val="28"/>
        </w:rPr>
        <w:br/>
        <w:t>Российской Федерации</w:t>
      </w:r>
    </w:p>
    <w:p w:rsidR="00A535EC" w:rsidRDefault="00A535EC">
      <w:pPr>
        <w:spacing w:after="0" w:line="48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A535EC" w:rsidRDefault="007E2761">
      <w:pPr>
        <w:spacing w:after="0" w:line="240" w:lineRule="auto"/>
        <w:ind w:firstLine="709"/>
        <w:jc w:val="both"/>
        <w:rPr>
          <w:rStyle w:val="10"/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Правительство Российской Федерации </w:t>
      </w:r>
      <w:proofErr w:type="gramStart"/>
      <w:r>
        <w:rPr>
          <w:rStyle w:val="10"/>
          <w:rFonts w:ascii="Times New Roman" w:hAnsi="Times New Roman" w:cs="Times New Roman"/>
          <w:b/>
          <w:color w:val="auto"/>
          <w:sz w:val="28"/>
          <w:szCs w:val="28"/>
        </w:rPr>
        <w:t>п</w:t>
      </w:r>
      <w:proofErr w:type="gramEnd"/>
      <w:r>
        <w:rPr>
          <w:rStyle w:val="10"/>
          <w:rFonts w:ascii="Times New Roman" w:hAnsi="Times New Roman" w:cs="Times New Roman"/>
          <w:b/>
          <w:color w:val="auto"/>
          <w:sz w:val="28"/>
          <w:szCs w:val="28"/>
          <w:lang w:val="en-US"/>
        </w:rPr>
        <w:t> </w:t>
      </w:r>
      <w:r>
        <w:rPr>
          <w:rStyle w:val="10"/>
          <w:rFonts w:ascii="Times New Roman" w:hAnsi="Times New Roman" w:cs="Times New Roman"/>
          <w:b/>
          <w:color w:val="auto"/>
          <w:sz w:val="28"/>
          <w:szCs w:val="28"/>
        </w:rPr>
        <w:t>о</w:t>
      </w:r>
      <w:r>
        <w:rPr>
          <w:rStyle w:val="10"/>
          <w:rFonts w:ascii="Times New Roman" w:hAnsi="Times New Roman" w:cs="Times New Roman"/>
          <w:b/>
          <w:color w:val="auto"/>
          <w:sz w:val="28"/>
          <w:szCs w:val="28"/>
          <w:lang w:val="en-US"/>
        </w:rPr>
        <w:t> </w:t>
      </w:r>
      <w:r>
        <w:rPr>
          <w:rStyle w:val="10"/>
          <w:rFonts w:ascii="Times New Roman" w:hAnsi="Times New Roman" w:cs="Times New Roman"/>
          <w:b/>
          <w:color w:val="auto"/>
          <w:sz w:val="28"/>
          <w:szCs w:val="28"/>
        </w:rPr>
        <w:t>с</w:t>
      </w:r>
      <w:r>
        <w:rPr>
          <w:rStyle w:val="10"/>
          <w:rFonts w:ascii="Times New Roman" w:hAnsi="Times New Roman" w:cs="Times New Roman"/>
          <w:b/>
          <w:color w:val="auto"/>
          <w:sz w:val="28"/>
          <w:szCs w:val="28"/>
          <w:lang w:val="en-US"/>
        </w:rPr>
        <w:t> </w:t>
      </w:r>
      <w:r>
        <w:rPr>
          <w:rStyle w:val="10"/>
          <w:rFonts w:ascii="Times New Roman" w:hAnsi="Times New Roman" w:cs="Times New Roman"/>
          <w:b/>
          <w:color w:val="auto"/>
          <w:sz w:val="28"/>
          <w:szCs w:val="28"/>
        </w:rPr>
        <w:t>т</w:t>
      </w:r>
      <w:r>
        <w:rPr>
          <w:rStyle w:val="10"/>
          <w:rFonts w:ascii="Times New Roman" w:hAnsi="Times New Roman" w:cs="Times New Roman"/>
          <w:b/>
          <w:color w:val="auto"/>
          <w:sz w:val="28"/>
          <w:szCs w:val="28"/>
          <w:lang w:val="en-US"/>
        </w:rPr>
        <w:t> </w:t>
      </w:r>
      <w:r>
        <w:rPr>
          <w:rStyle w:val="10"/>
          <w:rFonts w:ascii="Times New Roman" w:hAnsi="Times New Roman" w:cs="Times New Roman"/>
          <w:b/>
          <w:color w:val="auto"/>
          <w:sz w:val="28"/>
          <w:szCs w:val="28"/>
        </w:rPr>
        <w:t>а</w:t>
      </w:r>
      <w:r>
        <w:rPr>
          <w:rStyle w:val="10"/>
          <w:rFonts w:ascii="Times New Roman" w:hAnsi="Times New Roman" w:cs="Times New Roman"/>
          <w:b/>
          <w:color w:val="auto"/>
          <w:sz w:val="28"/>
          <w:szCs w:val="28"/>
          <w:lang w:val="en-US"/>
        </w:rPr>
        <w:t> </w:t>
      </w:r>
      <w:r>
        <w:rPr>
          <w:rStyle w:val="10"/>
          <w:rFonts w:ascii="Times New Roman" w:hAnsi="Times New Roman" w:cs="Times New Roman"/>
          <w:b/>
          <w:color w:val="auto"/>
          <w:sz w:val="28"/>
          <w:szCs w:val="28"/>
        </w:rPr>
        <w:t>н</w:t>
      </w:r>
      <w:r>
        <w:rPr>
          <w:rStyle w:val="10"/>
          <w:rFonts w:ascii="Times New Roman" w:hAnsi="Times New Roman" w:cs="Times New Roman"/>
          <w:b/>
          <w:color w:val="auto"/>
          <w:sz w:val="28"/>
          <w:szCs w:val="28"/>
          <w:lang w:val="en-US"/>
        </w:rPr>
        <w:t> </w:t>
      </w:r>
      <w:r>
        <w:rPr>
          <w:rStyle w:val="10"/>
          <w:rFonts w:ascii="Times New Roman" w:hAnsi="Times New Roman" w:cs="Times New Roman"/>
          <w:b/>
          <w:color w:val="auto"/>
          <w:sz w:val="28"/>
          <w:szCs w:val="28"/>
        </w:rPr>
        <w:t>о</w:t>
      </w:r>
      <w:r>
        <w:rPr>
          <w:rStyle w:val="10"/>
          <w:rFonts w:ascii="Times New Roman" w:hAnsi="Times New Roman" w:cs="Times New Roman"/>
          <w:b/>
          <w:color w:val="auto"/>
          <w:sz w:val="28"/>
          <w:szCs w:val="28"/>
          <w:lang w:val="en-US"/>
        </w:rPr>
        <w:t> </w:t>
      </w:r>
      <w:r>
        <w:rPr>
          <w:rStyle w:val="10"/>
          <w:rFonts w:ascii="Times New Roman" w:hAnsi="Times New Roman" w:cs="Times New Roman"/>
          <w:b/>
          <w:color w:val="auto"/>
          <w:sz w:val="28"/>
          <w:szCs w:val="28"/>
        </w:rPr>
        <w:t>в</w:t>
      </w:r>
      <w:r>
        <w:rPr>
          <w:rStyle w:val="10"/>
          <w:rFonts w:ascii="Times New Roman" w:hAnsi="Times New Roman" w:cs="Times New Roman"/>
          <w:b/>
          <w:color w:val="auto"/>
          <w:sz w:val="28"/>
          <w:szCs w:val="28"/>
          <w:lang w:val="en-US"/>
        </w:rPr>
        <w:t> </w:t>
      </w:r>
      <w:r>
        <w:rPr>
          <w:rStyle w:val="10"/>
          <w:rFonts w:ascii="Times New Roman" w:hAnsi="Times New Roman" w:cs="Times New Roman"/>
          <w:b/>
          <w:color w:val="auto"/>
          <w:sz w:val="28"/>
          <w:szCs w:val="28"/>
        </w:rPr>
        <w:t>л</w:t>
      </w:r>
      <w:r>
        <w:rPr>
          <w:rStyle w:val="10"/>
          <w:rFonts w:ascii="Times New Roman" w:hAnsi="Times New Roman" w:cs="Times New Roman"/>
          <w:b/>
          <w:color w:val="auto"/>
          <w:sz w:val="28"/>
          <w:szCs w:val="28"/>
          <w:lang w:val="en-US"/>
        </w:rPr>
        <w:t> </w:t>
      </w:r>
      <w:r>
        <w:rPr>
          <w:rStyle w:val="10"/>
          <w:rFonts w:ascii="Times New Roman" w:hAnsi="Times New Roman" w:cs="Times New Roman"/>
          <w:b/>
          <w:color w:val="auto"/>
          <w:sz w:val="28"/>
          <w:szCs w:val="28"/>
        </w:rPr>
        <w:t>я</w:t>
      </w:r>
      <w:r>
        <w:rPr>
          <w:rStyle w:val="10"/>
          <w:rFonts w:ascii="Times New Roman" w:hAnsi="Times New Roman" w:cs="Times New Roman"/>
          <w:b/>
          <w:color w:val="auto"/>
          <w:sz w:val="28"/>
          <w:szCs w:val="28"/>
          <w:lang w:val="en-US"/>
        </w:rPr>
        <w:t> </w:t>
      </w:r>
      <w:r>
        <w:rPr>
          <w:rStyle w:val="10"/>
          <w:rFonts w:ascii="Times New Roman" w:hAnsi="Times New Roman" w:cs="Times New Roman"/>
          <w:b/>
          <w:color w:val="auto"/>
          <w:sz w:val="28"/>
          <w:szCs w:val="28"/>
        </w:rPr>
        <w:t>е</w:t>
      </w:r>
      <w:r>
        <w:rPr>
          <w:rStyle w:val="10"/>
          <w:rFonts w:ascii="Times New Roman" w:hAnsi="Times New Roman" w:cs="Times New Roman"/>
          <w:b/>
          <w:color w:val="auto"/>
          <w:sz w:val="28"/>
          <w:szCs w:val="28"/>
          <w:lang w:val="en-US"/>
        </w:rPr>
        <w:t> </w:t>
      </w:r>
      <w:r>
        <w:rPr>
          <w:rStyle w:val="10"/>
          <w:rFonts w:ascii="Times New Roman" w:hAnsi="Times New Roman" w:cs="Times New Roman"/>
          <w:b/>
          <w:color w:val="auto"/>
          <w:sz w:val="28"/>
          <w:szCs w:val="28"/>
        </w:rPr>
        <w:t>т</w:t>
      </w:r>
      <w:r>
        <w:rPr>
          <w:rStyle w:val="10"/>
          <w:rFonts w:ascii="Times New Roman" w:hAnsi="Times New Roman" w:cs="Times New Roman"/>
          <w:b/>
          <w:color w:val="auto"/>
          <w:sz w:val="28"/>
          <w:szCs w:val="28"/>
          <w:lang w:val="en-US"/>
        </w:rPr>
        <w:t> </w:t>
      </w:r>
      <w:r>
        <w:rPr>
          <w:rStyle w:val="10"/>
          <w:rFonts w:ascii="Times New Roman" w:hAnsi="Times New Roman" w:cs="Times New Roman"/>
          <w:b/>
          <w:color w:val="auto"/>
          <w:sz w:val="28"/>
          <w:szCs w:val="28"/>
        </w:rPr>
        <w:t>:</w:t>
      </w:r>
    </w:p>
    <w:p w:rsidR="00A535EC" w:rsidRDefault="007E27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  Утвердить прилагаемые изменения, которые вносятся </w:t>
      </w:r>
      <w:r>
        <w:rPr>
          <w:rFonts w:ascii="Times New Roman" w:hAnsi="Times New Roman" w:cs="Times New Roman"/>
          <w:sz w:val="28"/>
          <w:szCs w:val="28"/>
        </w:rPr>
        <w:br/>
        <w:t>в акты Правительства Российской Федерации.</w:t>
      </w:r>
    </w:p>
    <w:p w:rsidR="00A535EC" w:rsidRDefault="007E27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постановление вступает в силу по истечении 30 дней после дня его официального опубликования, за исключением изменений, предусмотренных пунктом 1 настоящего постановления, которые вступают в силу с 1 января 2028 г.</w:t>
      </w:r>
    </w:p>
    <w:p w:rsidR="00A535EC" w:rsidRDefault="00A535E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94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35EC" w:rsidRDefault="007E2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A535EC" w:rsidRDefault="007E2761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М.Мишустин</w:t>
      </w:r>
      <w:proofErr w:type="spellEnd"/>
    </w:p>
    <w:p w:rsidR="00A535EC" w:rsidRDefault="00A535EC">
      <w:pPr>
        <w:rPr>
          <w:rFonts w:ascii="Times New Roman" w:hAnsi="Times New Roman" w:cs="Times New Roman"/>
          <w:sz w:val="28"/>
          <w:szCs w:val="28"/>
        </w:rPr>
      </w:pPr>
    </w:p>
    <w:p w:rsidR="00A535EC" w:rsidRDefault="00A535EC">
      <w:pPr>
        <w:rPr>
          <w:rFonts w:ascii="Times New Roman" w:hAnsi="Times New Roman" w:cs="Times New Roman"/>
          <w:sz w:val="28"/>
          <w:szCs w:val="28"/>
        </w:rPr>
        <w:sectPr w:rsidR="00A535EC">
          <w:head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:rsidR="00A535EC" w:rsidRDefault="007E2761">
      <w:pPr>
        <w:spacing w:after="0"/>
        <w:ind w:left="1020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УТВЕРЖДЕНЫ</w:t>
      </w:r>
    </w:p>
    <w:p w:rsidR="00A535EC" w:rsidRDefault="007E2761">
      <w:pPr>
        <w:spacing w:after="0"/>
        <w:ind w:left="10206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 Правительства</w:t>
      </w:r>
    </w:p>
    <w:p w:rsidR="00A535EC" w:rsidRDefault="007E2761">
      <w:pPr>
        <w:spacing w:after="0"/>
        <w:ind w:left="1020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Российской Федерации</w:t>
      </w:r>
    </w:p>
    <w:p w:rsidR="00A535EC" w:rsidRDefault="007E2761">
      <w:pPr>
        <w:spacing w:after="0"/>
        <w:ind w:left="1020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                                №</w:t>
      </w:r>
    </w:p>
    <w:p w:rsidR="00A535EC" w:rsidRDefault="00A535EC">
      <w:pPr>
        <w:spacing w:after="0"/>
        <w:ind w:right="-17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535EC" w:rsidRDefault="007E2761">
      <w:pPr>
        <w:spacing w:after="0"/>
        <w:ind w:right="-17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 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М Е Н Е Н И Я,</w:t>
      </w:r>
    </w:p>
    <w:p w:rsidR="00A535EC" w:rsidRDefault="007E2761">
      <w:pPr>
        <w:spacing w:after="0"/>
        <w:ind w:right="-17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которые вносятся в акты Правительства Российской Федерации </w:t>
      </w:r>
    </w:p>
    <w:p w:rsidR="00A535EC" w:rsidRDefault="00A535EC">
      <w:pPr>
        <w:spacing w:after="0" w:line="480" w:lineRule="exac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535EC" w:rsidRDefault="007E276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В постановлении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17 июля 2015 г. № 719 «О подтверждении производства российской промышленной продукции» (Собрание законодательства Российской Федерации, 2015, </w:t>
      </w:r>
      <w:r>
        <w:rPr>
          <w:rFonts w:ascii="Times New Roman" w:hAnsi="Times New Roman" w:cs="Times New Roman"/>
          <w:sz w:val="28"/>
          <w:szCs w:val="28"/>
        </w:rPr>
        <w:br/>
        <w:t>№ 30, ст. 4597; 2017, № 21, ст. 3003; № 40, ст. 5843; 2018, № 44, ст. 6737</w:t>
      </w:r>
      <w:r>
        <w:rPr>
          <w:rFonts w:ascii="Times New Roman" w:hAnsi="Times New Roman" w:cs="Times New Roman"/>
          <w:sz w:val="28"/>
          <w:szCs w:val="28"/>
        </w:rPr>
        <w:t xml:space="preserve">; 2021, № 2, ст. 388; № 51, ст. 8852; 2024, </w:t>
      </w:r>
      <w:r>
        <w:rPr>
          <w:rFonts w:ascii="Times New Roman" w:hAnsi="Times New Roman" w:cs="Times New Roman"/>
          <w:sz w:val="28"/>
          <w:szCs w:val="28"/>
        </w:rPr>
        <w:br/>
        <w:t>№ 28, ст. 4023):</w:t>
      </w:r>
    </w:p>
    <w:p w:rsidR="00A535EC" w:rsidRDefault="00A535E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35EC" w:rsidRDefault="007E2761">
      <w:pPr>
        <w:spacing w:after="0" w:line="36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а) в приложении к указанному постановлению:</w:t>
      </w:r>
    </w:p>
    <w:p w:rsidR="00A535EC" w:rsidRDefault="007E2761">
      <w:pPr>
        <w:spacing w:after="0" w:line="36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XXIII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после позиции, классифицируемой кодом по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ОК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034-2014 (КПЕС 2008) 25.11.23.110, дополнить позицией следующего содержания:</w:t>
      </w:r>
    </w:p>
    <w:p w:rsidR="00A535EC" w:rsidRDefault="00A535E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f8"/>
        <w:tblpPr w:leftFromText="180" w:rightFromText="180" w:vertAnchor="text" w:tblpXSpec="right" w:tblpY="1"/>
        <w:tblW w:w="141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8"/>
        <w:gridCol w:w="4478"/>
        <w:gridCol w:w="7683"/>
      </w:tblGrid>
      <w:tr w:rsidR="00A535EC">
        <w:tc>
          <w:tcPr>
            <w:tcW w:w="2038" w:type="dxa"/>
          </w:tcPr>
          <w:p w:rsidR="00A535EC" w:rsidRDefault="007E2761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«из 25.11.23.1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4478" w:type="dxa"/>
          </w:tcPr>
          <w:p w:rsidR="00A535EC" w:rsidRDefault="007E2761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Леса строительные из чёрных металлов, леса металлические строительные и их элементы, включая опалубки, подпорные стенки или шахтные крепи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из черных металлов, шахтные каркасы и надземные конструкции, телескопические стойки, трубчатые строительные леса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 аналогичные конструкции</w:t>
            </w:r>
          </w:p>
        </w:tc>
        <w:tc>
          <w:tcPr>
            <w:tcW w:w="7683" w:type="dxa"/>
          </w:tcPr>
          <w:p w:rsidR="00A535EC" w:rsidRDefault="007E2761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наличие у юридического лица - налогового резидента Российской Федерации - прав на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конструкторскую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A535EC" w:rsidRDefault="007E2761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 техническую документацию в объеме, достаточном </w:t>
            </w:r>
          </w:p>
          <w:p w:rsidR="00A535EC" w:rsidRDefault="007E2761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для производства, модернизации и развития соответствующей продукции на срок не ме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нее 5 лет;</w:t>
            </w:r>
          </w:p>
          <w:p w:rsidR="00A535EC" w:rsidRDefault="00A535EC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535EC" w:rsidRDefault="007E2761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наличие у юридического лица - налогового резидента государств - членов Евразийского экономического союза прав на техническую документацию в объеме, достаточном </w:t>
            </w:r>
          </w:p>
          <w:p w:rsidR="00A535EC" w:rsidRDefault="007E2761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для производства, модернизации и развития соответствующей продукции, на срок не мен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ее 5 лет;</w:t>
            </w:r>
          </w:p>
          <w:p w:rsidR="00A535EC" w:rsidRDefault="00A535EC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535EC" w:rsidRDefault="007E2761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применение сырья российского происхождения в конечном продукте долей не менее 65% от общей себестоимости всего применяемого сырья;</w:t>
            </w:r>
          </w:p>
          <w:p w:rsidR="00A535EC" w:rsidRDefault="00A535EC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535EC" w:rsidRDefault="007E2761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производство (осуществление) на территории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Российской Федерации следующих операц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ий (при отсутствии технологической операции в технологии производства требование к ее выполнению не предъявляется, баллы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не начисляются и не учитываются при расчете максимально возможного количества баллов), которые в совокупности оцениваются не менее 175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баллов:</w:t>
            </w:r>
          </w:p>
          <w:p w:rsidR="00A535EC" w:rsidRDefault="007E2761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наличие патента и (или) прав на технологию производства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(5 баллов);</w:t>
            </w:r>
          </w:p>
          <w:p w:rsidR="00A535EC" w:rsidRDefault="007E2761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заготовительное производство трубного, профильного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и сортового металлопроката (15 баллов);</w:t>
            </w:r>
          </w:p>
          <w:p w:rsidR="00A535EC" w:rsidRDefault="007E2761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прессовое производство изделий методами холодной листовой и объемной штамповки (15 бал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лов);</w:t>
            </w:r>
          </w:p>
          <w:p w:rsidR="00A535EC" w:rsidRDefault="007E2761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производство деталей методом пластического формообразования трубных заготовок (12 баллов);</w:t>
            </w:r>
          </w:p>
          <w:p w:rsidR="00A535EC" w:rsidRDefault="007E2761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производство деталей методом редуцирования, калибрования и локального изменения геометрии трубных заготовок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(13 баллов);</w:t>
            </w:r>
          </w:p>
          <w:p w:rsidR="00A535EC" w:rsidRDefault="007E2761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производство резьбовых элементов мето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дом пластического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накатывания наружной резьбы (10 баллов);</w:t>
            </w:r>
          </w:p>
          <w:p w:rsidR="00A535EC" w:rsidRDefault="007E2761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производство холодногнутых профилей методом непрерывного профилирования металлического проката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(16 баллов);</w:t>
            </w:r>
          </w:p>
          <w:p w:rsidR="00A535EC" w:rsidRDefault="007E2761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заготовительное производство листовых деталей методами механической и термической обрабо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тки на станках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и обрабатывающих центрах с ЧПУ (15 баллов);</w:t>
            </w:r>
          </w:p>
          <w:p w:rsidR="00A535EC" w:rsidRDefault="007E2761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сварочное производство с применением механизированной дуговой сварки в среде защитных газов (13 баллов);</w:t>
            </w:r>
          </w:p>
          <w:p w:rsidR="00A535EC" w:rsidRDefault="007E2761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сварочное производство с применением автоматизированных и роботизированных сварочных компле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ксов (17 баллов);</w:t>
            </w:r>
          </w:p>
          <w:p w:rsidR="00A535EC" w:rsidRDefault="007E2761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производство защитных металлических покрытий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(20 баллов);</w:t>
            </w:r>
          </w:p>
          <w:p w:rsidR="00A535EC" w:rsidRDefault="007E2761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производство защитно-декоративных лакокрасочных покрытий (16 баллов);</w:t>
            </w:r>
          </w:p>
          <w:p w:rsidR="00A535EC" w:rsidRDefault="007E2761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производство неразъемных соединений (11 баллов);</w:t>
            </w:r>
          </w:p>
          <w:p w:rsidR="00A535EC" w:rsidRDefault="007E2761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технологическая маркировка, идентификация и обеспечение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прослеживаемости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продукции (6 баллов);</w:t>
            </w:r>
          </w:p>
          <w:p w:rsidR="00A535EC" w:rsidRDefault="007E2761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механическая обработка деталей сверлением, зенкерованием и развертыванием отверстий (8 баллов);</w:t>
            </w:r>
          </w:p>
          <w:p w:rsidR="00A535EC" w:rsidRDefault="007E2761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финишная слесарная обработка изделий после нанесения защитных покрытий (8 баллов);</w:t>
            </w:r>
          </w:p>
          <w:p w:rsidR="00A535EC" w:rsidRDefault="007E2761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сборочное производство изделий в техно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логической оснастке с применением разъемных и/или неразъемных соединений (11 баллов);</w:t>
            </w:r>
          </w:p>
          <w:p w:rsidR="00A535EC" w:rsidRDefault="007E2761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упаковка, комплектование, консервация и подготовка готовой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продукции к транспортированию и хранению (9 баллов)»;</w:t>
            </w:r>
          </w:p>
          <w:p w:rsidR="00A535EC" w:rsidRDefault="00A535EC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A535EC" w:rsidRDefault="007E2761">
      <w:pPr>
        <w:spacing w:after="0" w:line="36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б)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примечание 10 дополнить абзацами следующего содержания: </w:t>
      </w:r>
    </w:p>
    <w:p w:rsidR="00A535EC" w:rsidRDefault="007E2761">
      <w:pPr>
        <w:spacing w:after="0" w:line="36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«Продукция отрасли металлургии и материалов может быть отнесена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 российской промышленной продукции при условии достижения в совокупности следующего суммарного количества баллов за выполнение на терр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итории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 указанных операций (условий) для каждой единицы продукции:</w:t>
      </w:r>
    </w:p>
    <w:p w:rsidR="00A535EC" w:rsidRDefault="007E2761">
      <w:pPr>
        <w:spacing w:after="0" w:line="36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из 25.11.23.119 – «Леса строительные из чёрных металлов, леса металлические строительные и их элементы, включая опалубки, подпорные стенки или шахтные крепи из черных ме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таллов, шахтные каркасы и надземные конструкции, телескопические стойки, трубчатые строительные леса и аналогичные конструкции» – не менее 175 баллов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.».</w:t>
      </w:r>
      <w:proofErr w:type="gramEnd"/>
    </w:p>
    <w:p w:rsidR="00A535EC" w:rsidRDefault="00A535E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535EC" w:rsidRDefault="00A535EC">
      <w:pPr>
        <w:rPr>
          <w:rFonts w:ascii="Times New Roman" w:hAnsi="Times New Roman" w:cs="Times New Roman"/>
          <w:color w:val="000000" w:themeColor="text1"/>
          <w:sz w:val="28"/>
          <w:szCs w:val="28"/>
        </w:rPr>
        <w:sectPr w:rsidR="00A535EC">
          <w:headerReference w:type="default" r:id="rId11"/>
          <w:pgSz w:w="16838" w:h="11906" w:orient="landscape"/>
          <w:pgMar w:top="1134" w:right="1418" w:bottom="1134" w:left="1418" w:header="567" w:footer="709" w:gutter="0"/>
          <w:pgNumType w:start="1"/>
          <w:cols w:space="708"/>
          <w:titlePg/>
          <w:docGrid w:linePitch="360"/>
        </w:sectPr>
      </w:pPr>
    </w:p>
    <w:p w:rsidR="00A535EC" w:rsidRDefault="007E276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lastRenderedPageBreak/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постановлении Правительства Российской Ф</w:t>
      </w:r>
      <w:r>
        <w:rPr>
          <w:rFonts w:ascii="Times New Roman" w:hAnsi="Times New Roman" w:cs="Times New Roman"/>
          <w:sz w:val="28"/>
          <w:szCs w:val="28"/>
        </w:rPr>
        <w:t xml:space="preserve">едерации </w:t>
      </w:r>
      <w:r>
        <w:rPr>
          <w:rFonts w:ascii="Times New Roman" w:hAnsi="Times New Roman" w:cs="Times New Roman"/>
          <w:sz w:val="28"/>
          <w:szCs w:val="28"/>
        </w:rPr>
        <w:br/>
        <w:t>от 23 декабря 2024 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(С</w:t>
      </w:r>
      <w:r>
        <w:rPr>
          <w:rFonts w:ascii="Times New Roman" w:hAnsi="Times New Roman" w:cs="Times New Roman"/>
          <w:sz w:val="28"/>
          <w:szCs w:val="28"/>
        </w:rPr>
        <w:t xml:space="preserve">обрание законодательства </w:t>
      </w:r>
      <w:r>
        <w:rPr>
          <w:rFonts w:ascii="Times New Roman" w:hAnsi="Times New Roman" w:cs="Times New Roman"/>
          <w:sz w:val="28"/>
          <w:szCs w:val="28"/>
        </w:rPr>
        <w:br/>
        <w:t>Российской Федерации, 2024, № 53, ст. 8704; 2025, № 24, ст. 3195; № 35, ст. 5240;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2026, № 1, ст. 95):</w:t>
      </w:r>
      <w:proofErr w:type="gramEnd"/>
    </w:p>
    <w:p w:rsidR="00A535EC" w:rsidRDefault="00A535E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535EC" w:rsidRDefault="007E27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приложение № 2 к указанному постановлению дополнить позицией 89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zh-CN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следующего содержания:</w:t>
      </w:r>
    </w:p>
    <w:p w:rsidR="00A535EC" w:rsidRDefault="00A535E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spacing w:val="-6"/>
        </w:rPr>
      </w:pPr>
    </w:p>
    <w:tbl>
      <w:tblPr>
        <w:tblStyle w:val="24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4"/>
        <w:gridCol w:w="5629"/>
        <w:gridCol w:w="2409"/>
      </w:tblGrid>
      <w:tr w:rsidR="00A535EC">
        <w:tc>
          <w:tcPr>
            <w:tcW w:w="10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5EC" w:rsidRDefault="007E276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tLeast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«89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.</w:t>
            </w:r>
          </w:p>
        </w:tc>
        <w:tc>
          <w:tcPr>
            <w:tcW w:w="56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5EC" w:rsidRDefault="007E2761">
            <w:pPr>
              <w:spacing w:line="288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Леса строительные из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чёрных металлов, леса металлические строительные и их элементы, включая опалубки, подпорные стенки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или шахтные крепи из черных металлов, шахтные каркасы и надземные конструкции, телескопические стойки, трубчатые строительные леса и аналогичные конструкции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5EC" w:rsidRDefault="007E276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2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из 25.11.23.119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»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.</w:t>
            </w:r>
          </w:p>
        </w:tc>
      </w:tr>
    </w:tbl>
    <w:p w:rsidR="00A535EC" w:rsidRDefault="00A535EC">
      <w:pPr>
        <w:spacing w:after="0" w:line="360" w:lineRule="exact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A535EC" w:rsidRDefault="007E27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б) приложение № 3 к указанному постановлению дополнить позицией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zh-CN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следующего содержания:</w:t>
      </w:r>
    </w:p>
    <w:p w:rsidR="00A535EC" w:rsidRDefault="00A535E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tLeast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tbl>
      <w:tblPr>
        <w:tblStyle w:val="24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"/>
        <w:gridCol w:w="4490"/>
        <w:gridCol w:w="2268"/>
        <w:gridCol w:w="1559"/>
      </w:tblGrid>
      <w:tr w:rsidR="00A535EC">
        <w:tc>
          <w:tcPr>
            <w:tcW w:w="10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5EC" w:rsidRDefault="007E276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tLeast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«20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5EC" w:rsidRDefault="007E2761">
            <w:pPr>
              <w:spacing w:line="288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Леса строительные из 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ёрных металлов, леса металлические строительные и их элементы, включая опалубки, подпорные стенки или шахтные крепи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 xml:space="preserve">из черных металлов, шахтные каркасы и надземные конструкции, телескопические стойки, трубчатые строительные леса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и аналогичные конструкции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5EC" w:rsidRDefault="007E276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2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из 25.11.23.119</w:t>
            </w:r>
          </w:p>
        </w:tc>
        <w:tc>
          <w:tcPr>
            <w:tcW w:w="1559" w:type="dxa"/>
          </w:tcPr>
          <w:p w:rsidR="00A535EC" w:rsidRDefault="007E276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2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»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.</w:t>
            </w:r>
          </w:p>
        </w:tc>
      </w:tr>
    </w:tbl>
    <w:p w:rsidR="00A535EC" w:rsidRDefault="00A535EC">
      <w:pPr>
        <w:spacing w:after="0" w:line="360" w:lineRule="exact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A535EC" w:rsidRDefault="00A535EC">
      <w:pPr>
        <w:spacing w:after="0" w:line="360" w:lineRule="exact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A535EC" w:rsidRDefault="00A535EC">
      <w:pPr>
        <w:spacing w:after="0" w:line="360" w:lineRule="exact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A535EC" w:rsidRDefault="007E2761">
      <w:pPr>
        <w:spacing w:after="0" w:line="360" w:lineRule="exact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__________</w:t>
      </w:r>
    </w:p>
    <w:sectPr w:rsidR="00A535EC">
      <w:pgSz w:w="11906" w:h="16838"/>
      <w:pgMar w:top="1418" w:right="1134" w:bottom="1418" w:left="1134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761" w:rsidRDefault="007E2761">
      <w:pPr>
        <w:spacing w:after="0" w:line="240" w:lineRule="auto"/>
      </w:pPr>
      <w:r>
        <w:separator/>
      </w:r>
    </w:p>
  </w:endnote>
  <w:endnote w:type="continuationSeparator" w:id="0">
    <w:p w:rsidR="007E2761" w:rsidRDefault="007E2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761" w:rsidRDefault="007E2761">
      <w:pPr>
        <w:spacing w:after="0" w:line="240" w:lineRule="auto"/>
      </w:pPr>
      <w:r>
        <w:separator/>
      </w:r>
    </w:p>
  </w:footnote>
  <w:footnote w:type="continuationSeparator" w:id="0">
    <w:p w:rsidR="007E2761" w:rsidRDefault="007E2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1383093"/>
      <w:docPartObj>
        <w:docPartGallery w:val="Page Numbers (Top of Page)"/>
        <w:docPartUnique/>
      </w:docPartObj>
    </w:sdtPr>
    <w:sdtEndPr/>
    <w:sdtContent>
      <w:p w:rsidR="00A535EC" w:rsidRDefault="007E2761">
        <w:pPr>
          <w:pStyle w:val="afc"/>
          <w:jc w:val="center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sz w:val="24"/>
          </w:rPr>
          <w:fldChar w:fldCharType="begin"/>
        </w:r>
        <w:r>
          <w:rPr>
            <w:rFonts w:ascii="Times New Roman" w:hAnsi="Times New Roman" w:cs="Times New Roman"/>
            <w:sz w:val="24"/>
          </w:rPr>
          <w:instrText>PAGE   \* MERGEFORMAT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sz w:val="24"/>
          </w:rPr>
          <w:t>2</w:t>
        </w:r>
        <w:r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5EC" w:rsidRDefault="00A535EC">
    <w:pPr>
      <w:pStyle w:val="afc"/>
    </w:pPr>
  </w:p>
  <w:p w:rsidR="00A535EC" w:rsidRDefault="00A535EC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SimSun" w:hAnsi="Times New Roman" w:cs="Times New Roman"/>
        <w:b/>
        <w:bCs/>
        <w:sz w:val="24"/>
        <w:szCs w:val="24"/>
        <w:lang w:eastAsia="zh-C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6419467"/>
      <w:docPartObj>
        <w:docPartGallery w:val="Page Numbers (Top of Page)"/>
        <w:docPartUnique/>
      </w:docPartObj>
    </w:sdtPr>
    <w:sdtEndPr/>
    <w:sdtContent>
      <w:p w:rsidR="00A535EC" w:rsidRDefault="007E2761">
        <w:pPr>
          <w:pStyle w:val="afc"/>
          <w:jc w:val="center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sz w:val="24"/>
          </w:rPr>
          <w:fldChar w:fldCharType="begin"/>
        </w:r>
        <w:r>
          <w:rPr>
            <w:rFonts w:ascii="Times New Roman" w:hAnsi="Times New Roman" w:cs="Times New Roman"/>
            <w:sz w:val="24"/>
          </w:rPr>
          <w:instrText>PAGE   \* MERGEFORMAT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 w:rsidR="00A12992">
          <w:rPr>
            <w:rFonts w:ascii="Times New Roman" w:hAnsi="Times New Roman" w:cs="Times New Roman"/>
            <w:noProof/>
            <w:sz w:val="24"/>
          </w:rPr>
          <w:t>4</w:t>
        </w:r>
        <w:r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61121"/>
    <w:multiLevelType w:val="hybridMultilevel"/>
    <w:tmpl w:val="A48ACA52"/>
    <w:lvl w:ilvl="0" w:tplc="450894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9260044C">
      <w:start w:val="1"/>
      <w:numFmt w:val="lowerLetter"/>
      <w:lvlText w:val="%2."/>
      <w:lvlJc w:val="left"/>
      <w:pPr>
        <w:ind w:left="1440" w:hanging="360"/>
      </w:pPr>
    </w:lvl>
    <w:lvl w:ilvl="2" w:tplc="19EEFE54">
      <w:start w:val="1"/>
      <w:numFmt w:val="lowerRoman"/>
      <w:lvlText w:val="%3."/>
      <w:lvlJc w:val="right"/>
      <w:pPr>
        <w:ind w:left="2160" w:hanging="180"/>
      </w:pPr>
    </w:lvl>
    <w:lvl w:ilvl="3" w:tplc="65C6BA8E">
      <w:start w:val="1"/>
      <w:numFmt w:val="decimal"/>
      <w:lvlText w:val="%4."/>
      <w:lvlJc w:val="left"/>
      <w:pPr>
        <w:ind w:left="2880" w:hanging="360"/>
      </w:pPr>
    </w:lvl>
    <w:lvl w:ilvl="4" w:tplc="78D04198">
      <w:start w:val="1"/>
      <w:numFmt w:val="lowerLetter"/>
      <w:lvlText w:val="%5."/>
      <w:lvlJc w:val="left"/>
      <w:pPr>
        <w:ind w:left="3600" w:hanging="360"/>
      </w:pPr>
    </w:lvl>
    <w:lvl w:ilvl="5" w:tplc="F0C0ACB4">
      <w:start w:val="1"/>
      <w:numFmt w:val="lowerRoman"/>
      <w:lvlText w:val="%6."/>
      <w:lvlJc w:val="right"/>
      <w:pPr>
        <w:ind w:left="4320" w:hanging="180"/>
      </w:pPr>
    </w:lvl>
    <w:lvl w:ilvl="6" w:tplc="F0C42270">
      <w:start w:val="1"/>
      <w:numFmt w:val="decimal"/>
      <w:lvlText w:val="%7."/>
      <w:lvlJc w:val="left"/>
      <w:pPr>
        <w:ind w:left="5040" w:hanging="360"/>
      </w:pPr>
    </w:lvl>
    <w:lvl w:ilvl="7" w:tplc="88245644">
      <w:start w:val="1"/>
      <w:numFmt w:val="lowerLetter"/>
      <w:lvlText w:val="%8."/>
      <w:lvlJc w:val="left"/>
      <w:pPr>
        <w:ind w:left="5760" w:hanging="360"/>
      </w:pPr>
    </w:lvl>
    <w:lvl w:ilvl="8" w:tplc="CA189F32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81450"/>
    <w:multiLevelType w:val="hybridMultilevel"/>
    <w:tmpl w:val="E0444E58"/>
    <w:lvl w:ilvl="0" w:tplc="0F86D6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022A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E6745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F8DC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3EDD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D4029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DE56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92D7C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CA136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5EC"/>
    <w:rsid w:val="007E2761"/>
    <w:rsid w:val="00A12992"/>
    <w:rsid w:val="00A5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Pr>
      <w:sz w:val="20"/>
      <w:szCs w:val="20"/>
    </w:rPr>
  </w:style>
  <w:style w:type="paragraph" w:styleId="afc">
    <w:name w:val="head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</w:style>
  <w:style w:type="paragraph" w:styleId="afe">
    <w:name w:val="foot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</w:style>
  <w:style w:type="paragraph" w:styleId="aff0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f8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8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Pr>
      <w:sz w:val="20"/>
      <w:szCs w:val="20"/>
    </w:rPr>
  </w:style>
  <w:style w:type="paragraph" w:styleId="afc">
    <w:name w:val="head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</w:style>
  <w:style w:type="paragraph" w:styleId="afe">
    <w:name w:val="foot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</w:style>
  <w:style w:type="paragraph" w:styleId="aff0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f8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8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B9241-704B-4B5B-8374-CDDA11CE5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941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Петросян Ариан Араикович</dc:creator>
  <cp:lastModifiedBy>Сергей Семериков</cp:lastModifiedBy>
  <cp:revision>2</cp:revision>
  <dcterms:created xsi:type="dcterms:W3CDTF">2026-08-31T06:34:00Z</dcterms:created>
  <dcterms:modified xsi:type="dcterms:W3CDTF">2026-08-31T06:34:00Z</dcterms:modified>
</cp:coreProperties>
</file>