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!-- Generated by Aspose.Words for .NET 24.2.0 -->
  <w:body>
    <w:p w:rsidR="007A1C53" w:rsidRPr="00D908B1" w14:paraId="347D1E4B" w14:textId="77777777">
      <w:pPr>
        <w:tabs>
          <w:tab w:val="left" w:pos="-142"/>
        </w:tabs>
        <w:spacing w:after="0" w:line="360" w:lineRule="auto"/>
        <w:ind w:righ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ЦЕНТРАЛЬНЫЙ БАНК РОССИЙСКОЙ ФЕДЕРАЦИИ</w:t>
      </w:r>
    </w:p>
    <w:p w:rsidR="007A1C53" w:rsidRPr="00D908B1" w14:paraId="3EFFE4F5" w14:textId="77777777">
      <w:pPr>
        <w:tabs>
          <w:tab w:val="left" w:pos="-142"/>
        </w:tabs>
        <w:spacing w:after="0" w:line="360" w:lineRule="auto"/>
        <w:ind w:righ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0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(БАНК РОССИИ)</w:t>
      </w:r>
    </w:p>
    <w:p w:rsidR="007A1C53" w:rsidRPr="00D908B1" w14:paraId="79FF704E" w14:textId="77777777">
      <w:pPr>
        <w:tabs>
          <w:tab w:val="left" w:pos="-142"/>
        </w:tabs>
        <w:spacing w:after="0" w:line="360" w:lineRule="auto"/>
        <w:ind w:righ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1C53" w:rsidRPr="00D908B1" w14:paraId="5784505A" w14:textId="77777777">
      <w:pPr>
        <w:tabs>
          <w:tab w:val="left" w:pos="-142"/>
        </w:tabs>
        <w:spacing w:after="0" w:line="360" w:lineRule="auto"/>
        <w:ind w:righ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0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К А З А Н И Е</w:t>
      </w:r>
    </w:p>
    <w:p w:rsidR="007A1C53" w:rsidRPr="00D908B1" w14:paraId="0A0B7BD1" w14:textId="77777777">
      <w:pPr>
        <w:tabs>
          <w:tab w:val="left" w:pos="-142"/>
        </w:tabs>
        <w:spacing w:after="0" w:line="360" w:lineRule="auto"/>
        <w:ind w:right="28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C53" w:rsidRPr="00D908B1" w14:paraId="7599C2B6" w14:textId="77777777">
      <w:pPr>
        <w:tabs>
          <w:tab w:val="left" w:pos="-142"/>
        </w:tabs>
        <w:spacing w:after="0" w:line="360" w:lineRule="auto"/>
        <w:ind w:right="28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8B1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___________2026 года                                                              № _____-У</w:t>
      </w:r>
    </w:p>
    <w:p w:rsidR="007A1C53" w:rsidRPr="00D908B1" w14:paraId="26CFAC64" w14:textId="77777777">
      <w:pPr>
        <w:tabs>
          <w:tab w:val="left" w:pos="-142"/>
        </w:tabs>
        <w:spacing w:after="0" w:line="360" w:lineRule="auto"/>
        <w:ind w:right="2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C53" w:rsidRPr="00D908B1" w14:paraId="08153DF1" w14:textId="77777777">
      <w:pPr>
        <w:tabs>
          <w:tab w:val="left" w:pos="-142"/>
        </w:tabs>
        <w:spacing w:after="0" w:line="36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8B1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Москва</w:t>
      </w:r>
    </w:p>
    <w:p w:rsidR="007A1C53" w:rsidRPr="00D908B1" w14:paraId="31F5F036" w14:textId="77777777">
      <w:pPr>
        <w:widowControl w:val="0"/>
        <w:spacing w:after="0" w:line="360" w:lineRule="auto"/>
        <w:jc w:val="center"/>
        <w:rPr>
          <w:rFonts w:ascii="Times New Roman" w:hAnsi="Times New Roman" w:eastAsiaTheme="minorEastAsia" w:cs="Times New Roman"/>
          <w:b/>
          <w:bCs/>
          <w:sz w:val="28"/>
          <w:szCs w:val="28"/>
          <w:lang w:eastAsia="ru-RU"/>
        </w:rPr>
      </w:pPr>
    </w:p>
    <w:p w:rsidR="007A1C53" w:rsidRPr="00D908B1" w14:paraId="430D2128" w14:textId="77777777">
      <w:pPr>
        <w:pStyle w:val="ConsPlusTitle"/>
        <w:jc w:val="center"/>
        <w:rPr>
          <w:sz w:val="28"/>
          <w:szCs w:val="28"/>
        </w:rPr>
      </w:pPr>
    </w:p>
    <w:p w:rsidR="007A1C53" w:rsidRPr="00D908B1" w14:paraId="69BDD7B1" w14:textId="77777777">
      <w:pPr>
        <w:pStyle w:val="ConsPlusTitle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908B1">
        <w:rPr>
          <w:rFonts w:ascii="Times New Roman" w:hAnsi="Times New Roman" w:cs="Times New Roman"/>
          <w:sz w:val="28"/>
          <w:szCs w:val="28"/>
        </w:rPr>
        <w:t xml:space="preserve">О порядке и сроках направления оператором по переводу денежных средств </w:t>
      </w:r>
      <w:r w:rsidRPr="00D908B1" w:rsidR="00B67B74">
        <w:rPr>
          <w:rFonts w:ascii="Times New Roman" w:hAnsi="Times New Roman" w:cs="Times New Roman"/>
          <w:sz w:val="28"/>
          <w:szCs w:val="28"/>
        </w:rPr>
        <w:t>информации в е</w:t>
      </w:r>
      <w:r w:rsidRPr="00D908B1">
        <w:rPr>
          <w:rFonts w:ascii="Times New Roman" w:hAnsi="Times New Roman" w:cs="Times New Roman"/>
          <w:sz w:val="28"/>
          <w:szCs w:val="28"/>
        </w:rPr>
        <w:t>диную систему учета платежных карт</w:t>
      </w:r>
    </w:p>
    <w:p w:rsidR="007A1C53" w:rsidRPr="00D908B1" w14:paraId="33088B2D" w14:textId="77777777">
      <w:pPr>
        <w:pStyle w:val="ConsPlusNormal"/>
        <w:spacing w:line="360" w:lineRule="auto"/>
        <w:contextualSpacing/>
        <w:jc w:val="both"/>
        <w:rPr>
          <w:sz w:val="28"/>
          <w:szCs w:val="28"/>
        </w:rPr>
      </w:pPr>
    </w:p>
    <w:p w:rsidR="007A1C53" w:rsidRPr="00D908B1" w14:paraId="69D00A12" w14:textId="77777777">
      <w:pPr>
        <w:pStyle w:val="ConsPlusNormal"/>
        <w:spacing w:line="360" w:lineRule="auto"/>
        <w:contextualSpacing/>
        <w:jc w:val="both"/>
        <w:rPr>
          <w:sz w:val="28"/>
          <w:szCs w:val="28"/>
        </w:rPr>
      </w:pPr>
    </w:p>
    <w:p w:rsidR="007A1C53" w:rsidRPr="00D908B1" w14:paraId="6D1F54BD" w14:textId="6C0BE562">
      <w:pPr>
        <w:pStyle w:val="ConsPlusNormal"/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D908B1">
        <w:rPr>
          <w:sz w:val="28"/>
          <w:szCs w:val="28"/>
        </w:rPr>
        <w:t>Настоящее Указание на основании части 7 статьи 9</w:t>
      </w:r>
      <w:r w:rsidRPr="00D908B1">
        <w:rPr>
          <w:sz w:val="28"/>
          <w:szCs w:val="28"/>
          <w:vertAlign w:val="superscript"/>
        </w:rPr>
        <w:t>2</w:t>
      </w:r>
      <w:r w:rsidRPr="00D908B1">
        <w:rPr>
          <w:sz w:val="28"/>
          <w:szCs w:val="28"/>
        </w:rPr>
        <w:t xml:space="preserve"> Федерального закона от 27 июня 2011 года № 161-ФЗ «О национальной платежной системе» устанавливает порядок и сроки направления оператором </w:t>
      </w:r>
      <w:r w:rsidRPr="00D908B1" w:rsidR="00B67B74">
        <w:rPr>
          <w:sz w:val="28"/>
          <w:szCs w:val="28"/>
        </w:rPr>
        <w:t>по переводу денежных средств в е</w:t>
      </w:r>
      <w:r w:rsidRPr="00D908B1">
        <w:rPr>
          <w:sz w:val="28"/>
          <w:szCs w:val="28"/>
        </w:rPr>
        <w:t>диную систему учета платежных карт</w:t>
      </w:r>
      <w:r w:rsidRPr="00D908B1" w:rsidR="00275367">
        <w:rPr>
          <w:sz w:val="28"/>
          <w:szCs w:val="28"/>
        </w:rPr>
        <w:t xml:space="preserve"> </w:t>
      </w:r>
      <w:r w:rsidRPr="00D908B1" w:rsidR="004D7B3F">
        <w:rPr>
          <w:sz w:val="28"/>
          <w:szCs w:val="28"/>
        </w:rPr>
        <w:t>информации</w:t>
      </w:r>
      <w:r w:rsidRPr="00D908B1" w:rsidR="003E5F70">
        <w:rPr>
          <w:sz w:val="28"/>
          <w:szCs w:val="28"/>
        </w:rPr>
        <w:t xml:space="preserve"> </w:t>
      </w:r>
      <w:r w:rsidRPr="00D908B1">
        <w:rPr>
          <w:sz w:val="28"/>
          <w:szCs w:val="28"/>
        </w:rPr>
        <w:t>о предоставленных клиентам – физическим лицам платежных картах</w:t>
      </w:r>
      <w:r w:rsidRPr="00D908B1" w:rsidR="00275367">
        <w:rPr>
          <w:sz w:val="28"/>
          <w:szCs w:val="28"/>
        </w:rPr>
        <w:t>,</w:t>
      </w:r>
      <w:r w:rsidRPr="00D908B1" w:rsidR="003E5F70">
        <w:rPr>
          <w:sz w:val="28"/>
          <w:szCs w:val="28"/>
        </w:rPr>
        <w:t xml:space="preserve"> </w:t>
      </w:r>
      <w:r w:rsidRPr="00D908B1" w:rsidR="00275367">
        <w:rPr>
          <w:sz w:val="28"/>
          <w:szCs w:val="28"/>
        </w:rPr>
        <w:t>с использованием которых осуществляются переводы денежных средств</w:t>
      </w:r>
      <w:r w:rsidRPr="00D908B1" w:rsidR="00D31186">
        <w:rPr>
          <w:sz w:val="28"/>
          <w:szCs w:val="28"/>
        </w:rPr>
        <w:t xml:space="preserve">, </w:t>
      </w:r>
      <w:r w:rsidRPr="00D908B1" w:rsidR="000D3048">
        <w:rPr>
          <w:sz w:val="28"/>
          <w:szCs w:val="28"/>
        </w:rPr>
        <w:t xml:space="preserve">их видах, </w:t>
      </w:r>
      <w:r w:rsidRPr="00D908B1" w:rsidR="00D31186">
        <w:rPr>
          <w:sz w:val="28"/>
          <w:szCs w:val="28"/>
        </w:rPr>
        <w:t>информации о номерах платежных карт, использование которых прекращено оператором по переводу денежных средств, а также информации о полученных им идентификационных номерах налогоплательщиков - клиентов - физических лиц, которым предоставлены такие платежные карты.</w:t>
      </w:r>
    </w:p>
    <w:p w:rsidR="007A1C53" w:rsidRPr="00D908B1" w:rsidP="005D7C0D" w14:paraId="6602CEB1" w14:textId="1E7FB39C">
      <w:pPr>
        <w:pStyle w:val="ConsPlusNormal"/>
        <w:numPr>
          <w:ilvl w:val="0"/>
          <w:numId w:val="2"/>
        </w:numPr>
        <w:spacing w:before="240" w:line="360" w:lineRule="auto"/>
        <w:ind w:left="0" w:firstLine="851"/>
        <w:contextualSpacing/>
        <w:jc w:val="both"/>
        <w:rPr>
          <w:sz w:val="28"/>
          <w:szCs w:val="28"/>
        </w:rPr>
      </w:pPr>
      <w:r w:rsidRPr="00D908B1">
        <w:rPr>
          <w:sz w:val="28"/>
          <w:szCs w:val="28"/>
        </w:rPr>
        <w:t>Оператор по переводу</w:t>
      </w:r>
      <w:r w:rsidRPr="00D908B1" w:rsidR="00B67B74">
        <w:rPr>
          <w:sz w:val="28"/>
          <w:szCs w:val="28"/>
        </w:rPr>
        <w:t xml:space="preserve"> денежных средств </w:t>
      </w:r>
      <w:r w:rsidRPr="00D908B1" w:rsidR="00EB5CB0">
        <w:rPr>
          <w:sz w:val="28"/>
          <w:szCs w:val="28"/>
        </w:rPr>
        <w:t xml:space="preserve">с использованием автоматизированной информационной системы оператора единой системы учета платежных карт </w:t>
      </w:r>
      <w:r w:rsidRPr="00D908B1" w:rsidR="00B67B74">
        <w:rPr>
          <w:sz w:val="28"/>
          <w:szCs w:val="28"/>
        </w:rPr>
        <w:t xml:space="preserve">направляет </w:t>
      </w:r>
      <w:r w:rsidRPr="00D908B1" w:rsidR="00B25EEE">
        <w:rPr>
          <w:sz w:val="28"/>
          <w:szCs w:val="28"/>
        </w:rPr>
        <w:t xml:space="preserve">в электронном виде </w:t>
      </w:r>
      <w:r w:rsidRPr="00D908B1" w:rsidR="00B67B74">
        <w:rPr>
          <w:sz w:val="28"/>
          <w:szCs w:val="28"/>
        </w:rPr>
        <w:t>в е</w:t>
      </w:r>
      <w:r w:rsidRPr="00D908B1">
        <w:rPr>
          <w:sz w:val="28"/>
          <w:szCs w:val="28"/>
        </w:rPr>
        <w:t>диную систему учета платежных карт информац</w:t>
      </w:r>
      <w:r w:rsidRPr="00D908B1" w:rsidR="00275367">
        <w:rPr>
          <w:sz w:val="28"/>
          <w:szCs w:val="28"/>
        </w:rPr>
        <w:t>ию о номерах</w:t>
      </w:r>
      <w:r w:rsidRPr="00D908B1" w:rsidR="00842897">
        <w:rPr>
          <w:sz w:val="28"/>
          <w:szCs w:val="28"/>
        </w:rPr>
        <w:t xml:space="preserve"> </w:t>
      </w:r>
      <w:r w:rsidRPr="00D908B1">
        <w:rPr>
          <w:sz w:val="28"/>
          <w:szCs w:val="28"/>
        </w:rPr>
        <w:t>и видах предоставленных клиентам – физическим лицам платежных картах</w:t>
      </w:r>
      <w:r w:rsidRPr="00D908B1" w:rsidR="00275367">
        <w:rPr>
          <w:sz w:val="28"/>
          <w:szCs w:val="28"/>
        </w:rPr>
        <w:t>,</w:t>
      </w:r>
      <w:r w:rsidRPr="00D908B1" w:rsidR="00842897">
        <w:rPr>
          <w:sz w:val="28"/>
          <w:szCs w:val="28"/>
        </w:rPr>
        <w:t xml:space="preserve"> </w:t>
      </w:r>
      <w:r w:rsidRPr="00D908B1" w:rsidR="00275367">
        <w:rPr>
          <w:sz w:val="28"/>
          <w:szCs w:val="28"/>
        </w:rPr>
        <w:t xml:space="preserve">с использованием которых </w:t>
      </w:r>
      <w:r w:rsidRPr="00D908B1" w:rsidR="00275367">
        <w:rPr>
          <w:sz w:val="28"/>
          <w:szCs w:val="28"/>
        </w:rPr>
        <w:t>осуществляются переводы денежных средств (далее – платежные карты)</w:t>
      </w:r>
      <w:r w:rsidRPr="00D908B1">
        <w:rPr>
          <w:sz w:val="28"/>
          <w:szCs w:val="28"/>
        </w:rPr>
        <w:t>, информацию о номерах таких платежных карт, использование которых прекращено, а также информацию о полученных оператором по переводу денежных средств идентификационных номерах налогоплательщиков</w:t>
      </w:r>
      <w:r w:rsidRPr="00D908B1" w:rsidR="00842897">
        <w:rPr>
          <w:sz w:val="28"/>
          <w:szCs w:val="28"/>
        </w:rPr>
        <w:br/>
      </w:r>
      <w:r w:rsidRPr="00D908B1" w:rsidR="00A01832">
        <w:rPr>
          <w:sz w:val="28"/>
          <w:szCs w:val="28"/>
        </w:rPr>
        <w:t xml:space="preserve">(далее – ИНН) </w:t>
      </w:r>
      <w:r w:rsidRPr="00D908B1">
        <w:rPr>
          <w:sz w:val="28"/>
          <w:szCs w:val="28"/>
        </w:rPr>
        <w:t>кли</w:t>
      </w:r>
      <w:r w:rsidRPr="00D908B1" w:rsidR="00275367">
        <w:rPr>
          <w:sz w:val="28"/>
          <w:szCs w:val="28"/>
        </w:rPr>
        <w:t>ентов – физических лиц, которым</w:t>
      </w:r>
      <w:r w:rsidRPr="00D908B1" w:rsidR="00842897">
        <w:rPr>
          <w:sz w:val="28"/>
          <w:szCs w:val="28"/>
        </w:rPr>
        <w:t xml:space="preserve"> </w:t>
      </w:r>
      <w:r w:rsidRPr="00D908B1">
        <w:rPr>
          <w:sz w:val="28"/>
          <w:szCs w:val="28"/>
        </w:rPr>
        <w:t xml:space="preserve">предоставлены платежные карты (далее – </w:t>
      </w:r>
      <w:r w:rsidRPr="00D908B1" w:rsidR="00E643DF">
        <w:rPr>
          <w:sz w:val="28"/>
          <w:szCs w:val="28"/>
        </w:rPr>
        <w:t>электронное сообщение)</w:t>
      </w:r>
      <w:r w:rsidRPr="00D908B1">
        <w:rPr>
          <w:sz w:val="28"/>
          <w:szCs w:val="28"/>
        </w:rPr>
        <w:t>.</w:t>
      </w:r>
    </w:p>
    <w:p w:rsidR="00034AE9" w:rsidRPr="00D908B1" w:rsidP="001D52CA" w14:paraId="14C05C35" w14:textId="77777777">
      <w:pPr>
        <w:pStyle w:val="ConsPlusNormal"/>
        <w:numPr>
          <w:ilvl w:val="0"/>
          <w:numId w:val="2"/>
        </w:numPr>
        <w:pBdr>
          <w:top w:val="nil"/>
          <w:left w:val="nil"/>
          <w:bottom w:val="nil"/>
          <w:right w:val="nil"/>
        </w:pBdr>
        <w:spacing w:before="240" w:line="360" w:lineRule="auto"/>
        <w:ind w:left="0" w:firstLine="851"/>
        <w:contextualSpacing/>
        <w:jc w:val="both"/>
        <w:rPr>
          <w:sz w:val="28"/>
          <w:szCs w:val="28"/>
        </w:rPr>
      </w:pPr>
      <w:r w:rsidRPr="00D908B1">
        <w:rPr>
          <w:sz w:val="28"/>
          <w:szCs w:val="28"/>
        </w:rPr>
        <w:t>Электронное с</w:t>
      </w:r>
      <w:r w:rsidRPr="00D908B1" w:rsidR="001D0790">
        <w:rPr>
          <w:sz w:val="28"/>
          <w:szCs w:val="28"/>
        </w:rPr>
        <w:t>ообщение</w:t>
      </w:r>
      <w:r w:rsidRPr="00D908B1" w:rsidR="00DE4EB5">
        <w:rPr>
          <w:sz w:val="28"/>
          <w:szCs w:val="28"/>
        </w:rPr>
        <w:t xml:space="preserve"> при </w:t>
      </w:r>
      <w:r w:rsidRPr="00D908B1" w:rsidR="00B67B74">
        <w:rPr>
          <w:sz w:val="28"/>
          <w:szCs w:val="28"/>
        </w:rPr>
        <w:t>направлен</w:t>
      </w:r>
      <w:r w:rsidRPr="00D908B1" w:rsidR="00DE4EB5">
        <w:rPr>
          <w:sz w:val="28"/>
          <w:szCs w:val="28"/>
        </w:rPr>
        <w:t>ии</w:t>
      </w:r>
      <w:r w:rsidRPr="00D908B1" w:rsidR="00B67B74">
        <w:rPr>
          <w:sz w:val="28"/>
          <w:szCs w:val="28"/>
        </w:rPr>
        <w:t xml:space="preserve"> </w:t>
      </w:r>
      <w:r w:rsidRPr="00D908B1" w:rsidR="00DE4EB5">
        <w:rPr>
          <w:sz w:val="28"/>
          <w:szCs w:val="28"/>
        </w:rPr>
        <w:t xml:space="preserve">оператором по переводу денежных средств </w:t>
      </w:r>
      <w:r w:rsidRPr="00D908B1" w:rsidR="00B67B74">
        <w:rPr>
          <w:sz w:val="28"/>
          <w:szCs w:val="28"/>
        </w:rPr>
        <w:t>в е</w:t>
      </w:r>
      <w:r w:rsidRPr="00D908B1" w:rsidR="001D0790">
        <w:rPr>
          <w:sz w:val="28"/>
          <w:szCs w:val="28"/>
        </w:rPr>
        <w:t xml:space="preserve">диную систему учета платежных карт </w:t>
      </w:r>
      <w:r w:rsidRPr="00D908B1" w:rsidR="00DE4EB5">
        <w:rPr>
          <w:sz w:val="28"/>
          <w:szCs w:val="28"/>
        </w:rPr>
        <w:t xml:space="preserve">должно быть </w:t>
      </w:r>
      <w:r w:rsidRPr="00D908B1" w:rsidR="001D0790">
        <w:rPr>
          <w:sz w:val="28"/>
          <w:szCs w:val="28"/>
        </w:rPr>
        <w:t>подписано усиленной квалифицированной электронной подписью, предусмотренной частью 4 статьи 5 Федерального закона от 6 апреля</w:t>
      </w:r>
      <w:r w:rsidRPr="00D908B1" w:rsidR="00842897">
        <w:rPr>
          <w:sz w:val="28"/>
          <w:szCs w:val="28"/>
        </w:rPr>
        <w:br/>
      </w:r>
      <w:r w:rsidRPr="00D908B1" w:rsidR="001D0790">
        <w:rPr>
          <w:sz w:val="28"/>
          <w:szCs w:val="28"/>
        </w:rPr>
        <w:t>2011 года № 63-ФЗ</w:t>
      </w:r>
      <w:r w:rsidRPr="00D908B1" w:rsidR="00842897">
        <w:rPr>
          <w:sz w:val="28"/>
          <w:szCs w:val="28"/>
        </w:rPr>
        <w:t xml:space="preserve"> </w:t>
      </w:r>
      <w:r w:rsidRPr="00D908B1" w:rsidR="001D0790">
        <w:rPr>
          <w:sz w:val="28"/>
          <w:szCs w:val="28"/>
        </w:rPr>
        <w:t>«Об электронной подписи».</w:t>
      </w:r>
    </w:p>
    <w:p w:rsidR="00A24A5D" w:rsidRPr="00D908B1" w:rsidP="00D908B1" w14:paraId="2CCFE005" w14:textId="5462BD71">
      <w:pPr>
        <w:pStyle w:val="ConsPlusNormal"/>
        <w:numPr>
          <w:ilvl w:val="0"/>
          <w:numId w:val="2"/>
        </w:numPr>
        <w:pBdr>
          <w:top w:val="nil"/>
          <w:left w:val="nil"/>
          <w:bottom w:val="nil"/>
          <w:right w:val="nil"/>
        </w:pBdr>
        <w:spacing w:before="240" w:line="360" w:lineRule="auto"/>
        <w:ind w:left="0" w:firstLine="851"/>
        <w:contextualSpacing/>
        <w:jc w:val="both"/>
        <w:rPr>
          <w:sz w:val="28"/>
          <w:szCs w:val="28"/>
        </w:rPr>
      </w:pPr>
      <w:r w:rsidRPr="00D908B1">
        <w:rPr>
          <w:sz w:val="28"/>
          <w:szCs w:val="28"/>
        </w:rPr>
        <w:t>Оператор по переводу денежных средств направляет э</w:t>
      </w:r>
      <w:r w:rsidRPr="00D908B1" w:rsidR="003A1F2B">
        <w:rPr>
          <w:sz w:val="28"/>
          <w:szCs w:val="28"/>
        </w:rPr>
        <w:t>лектронное с</w:t>
      </w:r>
      <w:r w:rsidRPr="00D908B1" w:rsidR="001D0790">
        <w:rPr>
          <w:sz w:val="28"/>
          <w:szCs w:val="28"/>
        </w:rPr>
        <w:t xml:space="preserve">ообщение </w:t>
      </w:r>
      <w:r w:rsidRPr="00D908B1">
        <w:rPr>
          <w:sz w:val="28"/>
          <w:szCs w:val="28"/>
        </w:rPr>
        <w:t>с информацией о</w:t>
      </w:r>
      <w:r w:rsidRPr="00D908B1" w:rsidR="00351AE0">
        <w:rPr>
          <w:sz w:val="28"/>
          <w:szCs w:val="28"/>
        </w:rPr>
        <w:t xml:space="preserve"> </w:t>
      </w:r>
      <w:r w:rsidRPr="00D908B1">
        <w:rPr>
          <w:sz w:val="28"/>
          <w:szCs w:val="28"/>
        </w:rPr>
        <w:t>предоставлении</w:t>
      </w:r>
      <w:r w:rsidRPr="00D908B1" w:rsidR="003A1F2B">
        <w:rPr>
          <w:sz w:val="28"/>
          <w:szCs w:val="28"/>
        </w:rPr>
        <w:t xml:space="preserve"> клиенту – физическому лицу платежной карты, включая предоставление платежной карты взамен ранее предоставленной</w:t>
      </w:r>
      <w:r w:rsidRPr="00D908B1" w:rsidR="00351AE0">
        <w:rPr>
          <w:sz w:val="28"/>
          <w:szCs w:val="28"/>
        </w:rPr>
        <w:t>,</w:t>
      </w:r>
      <w:r w:rsidRPr="00D908B1">
        <w:rPr>
          <w:sz w:val="28"/>
          <w:szCs w:val="28"/>
        </w:rPr>
        <w:t xml:space="preserve"> в течение срока, когда информация</w:t>
      </w:r>
      <w:r w:rsidRPr="00D908B1">
        <w:rPr>
          <w:sz w:val="28"/>
          <w:szCs w:val="28"/>
        </w:rPr>
        <w:t xml:space="preserve">, </w:t>
      </w:r>
      <w:r w:rsidRPr="00D908B1">
        <w:rPr>
          <w:sz w:val="28"/>
          <w:szCs w:val="28"/>
        </w:rPr>
        <w:t>указанная</w:t>
      </w:r>
      <w:r w:rsidRPr="00D908B1">
        <w:rPr>
          <w:sz w:val="28"/>
          <w:szCs w:val="28"/>
        </w:rPr>
        <w:t xml:space="preserve"> в части 2</w:t>
      </w:r>
      <w:r w:rsidRPr="00D908B1">
        <w:rPr>
          <w:sz w:val="28"/>
          <w:szCs w:val="28"/>
          <w:vertAlign w:val="superscript"/>
        </w:rPr>
        <w:t>2</w:t>
      </w:r>
      <w:r w:rsidRPr="00D908B1">
        <w:rPr>
          <w:sz w:val="28"/>
          <w:szCs w:val="28"/>
        </w:rPr>
        <w:t xml:space="preserve"> статьи 9 </w:t>
      </w:r>
      <w:r w:rsidRPr="00D908B1">
        <w:rPr>
          <w:sz w:val="28"/>
          <w:szCs w:val="28"/>
        </w:rPr>
        <w:t>Федерального закон</w:t>
      </w:r>
      <w:r w:rsidR="00D908B1">
        <w:rPr>
          <w:sz w:val="28"/>
          <w:szCs w:val="28"/>
        </w:rPr>
        <w:t>а от 27 июня 2011 года № 161-ФЗ</w:t>
      </w:r>
      <w:r w:rsidR="00D908B1">
        <w:rPr>
          <w:sz w:val="28"/>
          <w:szCs w:val="28"/>
        </w:rPr>
        <w:br/>
      </w:r>
      <w:r w:rsidRPr="00D908B1">
        <w:rPr>
          <w:sz w:val="28"/>
          <w:szCs w:val="28"/>
        </w:rPr>
        <w:t>«О национальной платежной системе» (далее –</w:t>
      </w:r>
      <w:r w:rsidR="00D908B1">
        <w:rPr>
          <w:sz w:val="28"/>
          <w:szCs w:val="28"/>
        </w:rPr>
        <w:t xml:space="preserve"> Федеральный</w:t>
      </w:r>
      <w:r w:rsidR="00D908B1">
        <w:rPr>
          <w:sz w:val="28"/>
          <w:szCs w:val="28"/>
        </w:rPr>
        <w:br/>
      </w:r>
      <w:r w:rsidRPr="00D908B1">
        <w:rPr>
          <w:sz w:val="28"/>
          <w:szCs w:val="28"/>
        </w:rPr>
        <w:t>закон № 161-ФЗ)</w:t>
      </w:r>
      <w:r w:rsidRPr="00D908B1">
        <w:rPr>
          <w:sz w:val="28"/>
          <w:szCs w:val="28"/>
        </w:rPr>
        <w:t xml:space="preserve">, </w:t>
      </w:r>
      <w:r w:rsidRPr="00D908B1">
        <w:rPr>
          <w:sz w:val="28"/>
          <w:szCs w:val="28"/>
        </w:rPr>
        <w:t xml:space="preserve">считается предоставленной оператором ЕСУПК оператору по переводу денежных средств. </w:t>
      </w:r>
    </w:p>
    <w:p w:rsidR="00715FC5" w:rsidRPr="00D908B1" w:rsidP="00A24A5D" w14:paraId="4355914F" w14:textId="187A7464">
      <w:pPr>
        <w:pStyle w:val="ConsPlusNormal"/>
        <w:pBdr>
          <w:top w:val="nil"/>
          <w:left w:val="nil"/>
          <w:bottom w:val="nil"/>
          <w:right w:val="nil"/>
        </w:pBdr>
        <w:spacing w:before="240" w:line="360" w:lineRule="auto"/>
        <w:ind w:firstLine="851"/>
        <w:contextualSpacing/>
        <w:jc w:val="both"/>
        <w:rPr>
          <w:sz w:val="28"/>
          <w:szCs w:val="28"/>
        </w:rPr>
      </w:pPr>
      <w:r w:rsidRPr="00D908B1">
        <w:rPr>
          <w:sz w:val="28"/>
          <w:szCs w:val="28"/>
        </w:rPr>
        <w:t>В целях настоящего Указания платежная карта считается предоставленной кли</w:t>
      </w:r>
      <w:r w:rsidRPr="00D908B1" w:rsidR="007F421C">
        <w:rPr>
          <w:sz w:val="28"/>
          <w:szCs w:val="28"/>
        </w:rPr>
        <w:t xml:space="preserve">енту-физическому лицу с момента </w:t>
      </w:r>
      <w:r w:rsidRPr="00D908B1">
        <w:rPr>
          <w:sz w:val="28"/>
          <w:szCs w:val="28"/>
        </w:rPr>
        <w:t>присвоения</w:t>
      </w:r>
      <w:r w:rsidRPr="00D908B1" w:rsidR="00A96917">
        <w:rPr>
          <w:sz w:val="28"/>
          <w:szCs w:val="28"/>
        </w:rPr>
        <w:t xml:space="preserve"> </w:t>
      </w:r>
      <w:r w:rsidRPr="00D908B1" w:rsidR="00574916">
        <w:rPr>
          <w:sz w:val="28"/>
          <w:szCs w:val="28"/>
        </w:rPr>
        <w:t xml:space="preserve">платежной карте </w:t>
      </w:r>
      <w:r w:rsidRPr="00D908B1" w:rsidR="00A96917">
        <w:rPr>
          <w:sz w:val="28"/>
          <w:szCs w:val="28"/>
        </w:rPr>
        <w:t>в автоматизированной банковской системе</w:t>
      </w:r>
      <w:r w:rsidRPr="00D908B1" w:rsidR="00B25EEE">
        <w:rPr>
          <w:sz w:val="28"/>
          <w:szCs w:val="28"/>
        </w:rPr>
        <w:t xml:space="preserve"> </w:t>
      </w:r>
      <w:r w:rsidRPr="00D908B1">
        <w:rPr>
          <w:sz w:val="28"/>
          <w:szCs w:val="28"/>
        </w:rPr>
        <w:t>индивидуальных (пе</w:t>
      </w:r>
      <w:r w:rsidRPr="00D908B1" w:rsidR="007F421C">
        <w:rPr>
          <w:sz w:val="28"/>
          <w:szCs w:val="28"/>
        </w:rPr>
        <w:t>рсональных) данных ее держателя</w:t>
      </w:r>
      <w:r w:rsidRPr="00D908B1">
        <w:rPr>
          <w:sz w:val="28"/>
          <w:szCs w:val="28"/>
        </w:rPr>
        <w:t xml:space="preserve"> в электронном виде, которые позволяют идентифицировать держателя карты. </w:t>
      </w:r>
    </w:p>
    <w:p w:rsidR="00A24A5D" w:rsidRPr="00D908B1" w:rsidP="00DD5AED" w14:paraId="0643BE47" w14:textId="77777777">
      <w:pPr>
        <w:pStyle w:val="ConsPlusNormal"/>
        <w:numPr>
          <w:ilvl w:val="0"/>
          <w:numId w:val="2"/>
        </w:numPr>
        <w:spacing w:before="240" w:line="360" w:lineRule="auto"/>
        <w:ind w:left="0" w:firstLine="851"/>
        <w:contextualSpacing/>
        <w:jc w:val="both"/>
        <w:rPr>
          <w:sz w:val="28"/>
          <w:szCs w:val="28"/>
        </w:rPr>
      </w:pPr>
      <w:r w:rsidRPr="00D908B1">
        <w:rPr>
          <w:sz w:val="28"/>
          <w:szCs w:val="28"/>
        </w:rPr>
        <w:t>Оператор по переводу денежных средств направляет электронное сообщение с информацией о прекращени</w:t>
      </w:r>
      <w:r w:rsidRPr="00D908B1">
        <w:rPr>
          <w:sz w:val="28"/>
          <w:szCs w:val="28"/>
        </w:rPr>
        <w:t>и</w:t>
      </w:r>
      <w:r w:rsidRPr="00D908B1">
        <w:rPr>
          <w:sz w:val="28"/>
          <w:szCs w:val="28"/>
        </w:rPr>
        <w:t xml:space="preserve"> использования платежной карты, предоставленной клиенту – физическому лицу</w:t>
      </w:r>
      <w:r w:rsidRPr="00D908B1">
        <w:rPr>
          <w:sz w:val="28"/>
          <w:szCs w:val="28"/>
        </w:rPr>
        <w:t>:</w:t>
      </w:r>
    </w:p>
    <w:p w:rsidR="00A24A5D" w:rsidRPr="00D908B1" w:rsidP="000B1419" w14:paraId="65B8B693" w14:textId="2086A7D5">
      <w:pPr>
        <w:pStyle w:val="ConsPlusNormal"/>
        <w:spacing w:before="240" w:line="360" w:lineRule="auto"/>
        <w:ind w:firstLine="851"/>
        <w:contextualSpacing/>
        <w:jc w:val="both"/>
        <w:rPr>
          <w:sz w:val="28"/>
          <w:szCs w:val="28"/>
        </w:rPr>
      </w:pPr>
      <w:r w:rsidRPr="00D908B1">
        <w:rPr>
          <w:sz w:val="28"/>
          <w:szCs w:val="28"/>
        </w:rPr>
        <w:t xml:space="preserve">незамедлительно после </w:t>
      </w:r>
      <w:r w:rsidRPr="00D908B1">
        <w:rPr>
          <w:sz w:val="28"/>
          <w:szCs w:val="28"/>
        </w:rPr>
        <w:t>получения оператором по переводу денежных средств уведомления о прекращении использования платежной карты</w:t>
      </w:r>
      <w:r w:rsidRPr="00D908B1" w:rsidR="000B1419">
        <w:rPr>
          <w:sz w:val="28"/>
          <w:szCs w:val="28"/>
        </w:rPr>
        <w:t xml:space="preserve"> </w:t>
      </w:r>
      <w:r w:rsidRPr="00D908B1">
        <w:rPr>
          <w:sz w:val="28"/>
          <w:szCs w:val="28"/>
        </w:rPr>
        <w:t xml:space="preserve">от </w:t>
      </w:r>
      <w:r w:rsidRPr="00D908B1">
        <w:rPr>
          <w:sz w:val="28"/>
          <w:szCs w:val="28"/>
        </w:rPr>
        <w:t>клиента, направленного в соответствии с частью 9 статьи 9 Федерального закона № 161-ФЗ, или информирования оператором по переводу денежных средств клиента о прекращении использования платежной карты</w:t>
      </w:r>
      <w:r w:rsidRPr="00D908B1" w:rsidR="000B1419">
        <w:rPr>
          <w:sz w:val="28"/>
          <w:szCs w:val="28"/>
        </w:rPr>
        <w:t>, направленного в соответствии с</w:t>
      </w:r>
      <w:r w:rsidRPr="00D908B1">
        <w:rPr>
          <w:sz w:val="28"/>
          <w:szCs w:val="28"/>
        </w:rPr>
        <w:t xml:space="preserve"> частью 9</w:t>
      </w:r>
      <w:r w:rsidRPr="00D908B1">
        <w:rPr>
          <w:sz w:val="28"/>
          <w:szCs w:val="28"/>
          <w:vertAlign w:val="superscript"/>
        </w:rPr>
        <w:t>2</w:t>
      </w:r>
      <w:r w:rsidRPr="00D908B1">
        <w:rPr>
          <w:sz w:val="28"/>
          <w:szCs w:val="28"/>
        </w:rPr>
        <w:t xml:space="preserve"> статьи</w:t>
      </w:r>
      <w:r w:rsidRPr="00D908B1" w:rsidR="000B1419">
        <w:rPr>
          <w:sz w:val="28"/>
          <w:szCs w:val="28"/>
        </w:rPr>
        <w:t xml:space="preserve"> 9 Федерального</w:t>
      </w:r>
      <w:r w:rsidRPr="00D908B1" w:rsidR="000B1419">
        <w:rPr>
          <w:sz w:val="28"/>
          <w:szCs w:val="28"/>
        </w:rPr>
        <w:br/>
        <w:t>закона № 161-ФЗ;</w:t>
      </w:r>
    </w:p>
    <w:p w:rsidR="00034AE9" w:rsidRPr="00D908B1" w:rsidP="00485D88" w14:paraId="44B45D8A" w14:textId="5FC8A3F4">
      <w:pPr>
        <w:pStyle w:val="ConsPlusNormal"/>
        <w:spacing w:before="240" w:line="360" w:lineRule="auto"/>
        <w:ind w:firstLine="851"/>
        <w:contextualSpacing/>
        <w:jc w:val="both"/>
        <w:rPr>
          <w:sz w:val="28"/>
          <w:szCs w:val="28"/>
        </w:rPr>
      </w:pPr>
      <w:r w:rsidRPr="00D908B1">
        <w:rPr>
          <w:sz w:val="28"/>
          <w:szCs w:val="28"/>
        </w:rPr>
        <w:t xml:space="preserve">в день </w:t>
      </w:r>
      <w:r w:rsidRPr="00D908B1" w:rsidR="00D775B4">
        <w:rPr>
          <w:sz w:val="28"/>
          <w:szCs w:val="28"/>
        </w:rPr>
        <w:t>расторже</w:t>
      </w:r>
      <w:r w:rsidRPr="00D908B1" w:rsidR="00A24A5D">
        <w:rPr>
          <w:sz w:val="28"/>
          <w:szCs w:val="28"/>
        </w:rPr>
        <w:t xml:space="preserve">ния договора банковского счета, </w:t>
      </w:r>
      <w:r w:rsidRPr="00D908B1" w:rsidR="00D775B4">
        <w:rPr>
          <w:sz w:val="28"/>
          <w:szCs w:val="28"/>
        </w:rPr>
        <w:t>в случае, если банковский счет открыт на условиях, предусмотренных пунктом 3 статьи 846 Гражданског</w:t>
      </w:r>
      <w:r w:rsidRPr="00D908B1">
        <w:rPr>
          <w:sz w:val="28"/>
          <w:szCs w:val="28"/>
        </w:rPr>
        <w:t xml:space="preserve">о кодекса Российской Федерации или </w:t>
      </w:r>
      <w:r w:rsidRPr="00D908B1" w:rsidR="00D775B4">
        <w:rPr>
          <w:sz w:val="28"/>
          <w:szCs w:val="28"/>
        </w:rPr>
        <w:t xml:space="preserve">расторжения договора об использовании электронного средства платежа, предусмотренного частью 1 статьи 9 Федерального закона </w:t>
      </w:r>
      <w:r w:rsidRPr="00D908B1">
        <w:rPr>
          <w:sz w:val="28"/>
          <w:szCs w:val="28"/>
        </w:rPr>
        <w:t xml:space="preserve">№ 161-ФЗ </w:t>
      </w:r>
      <w:r w:rsidRPr="00D908B1">
        <w:rPr>
          <w:sz w:val="28"/>
          <w:szCs w:val="28"/>
        </w:rPr>
        <w:t>и заключенного оператором по переводу денежных средств</w:t>
      </w:r>
      <w:r w:rsidRPr="00D908B1">
        <w:rPr>
          <w:sz w:val="28"/>
          <w:szCs w:val="28"/>
        </w:rPr>
        <w:t xml:space="preserve"> </w:t>
      </w:r>
      <w:r w:rsidRPr="00D908B1">
        <w:rPr>
          <w:sz w:val="28"/>
          <w:szCs w:val="28"/>
        </w:rPr>
        <w:t>с клиентом-физическим лицом</w:t>
      </w:r>
      <w:r w:rsidR="00D908B1">
        <w:rPr>
          <w:sz w:val="28"/>
          <w:szCs w:val="28"/>
        </w:rPr>
        <w:t xml:space="preserve">, в случаях, если расторжению договора не предшествовало </w:t>
      </w:r>
      <w:r w:rsidR="00485D88">
        <w:rPr>
          <w:sz w:val="28"/>
          <w:szCs w:val="28"/>
        </w:rPr>
        <w:t xml:space="preserve">направление </w:t>
      </w:r>
      <w:r w:rsidRPr="00485D88" w:rsidR="00485D88">
        <w:rPr>
          <w:sz w:val="28"/>
          <w:szCs w:val="28"/>
        </w:rPr>
        <w:t>уведомления о прекращении использования платежной карты от клиента, направленного в соответствии с частью 9 статьи 9 Федерального зак</w:t>
      </w:r>
      <w:r w:rsidR="00485D88">
        <w:rPr>
          <w:sz w:val="28"/>
          <w:szCs w:val="28"/>
        </w:rPr>
        <w:t>она № 161-ФЗ, или информирование</w:t>
      </w:r>
      <w:r w:rsidRPr="00485D88" w:rsidR="00485D88">
        <w:rPr>
          <w:sz w:val="28"/>
          <w:szCs w:val="28"/>
        </w:rPr>
        <w:t xml:space="preserve"> оператором по переводу денежных средств клиента о прекращении использования платежной карты, направленного в соответствии с частью 9</w:t>
      </w:r>
      <w:r w:rsidRPr="00485D88" w:rsidR="00485D88">
        <w:rPr>
          <w:sz w:val="28"/>
          <w:szCs w:val="28"/>
          <w:vertAlign w:val="superscript"/>
        </w:rPr>
        <w:t>2</w:t>
      </w:r>
      <w:r w:rsidRPr="00485D88" w:rsidR="00485D88">
        <w:rPr>
          <w:sz w:val="28"/>
          <w:szCs w:val="28"/>
        </w:rPr>
        <w:t xml:space="preserve"> статьи 9 Федерального</w:t>
      </w:r>
      <w:r w:rsidR="00485D88">
        <w:rPr>
          <w:sz w:val="28"/>
          <w:szCs w:val="28"/>
        </w:rPr>
        <w:t xml:space="preserve"> </w:t>
      </w:r>
      <w:r w:rsidRPr="00485D88" w:rsidR="00485D88">
        <w:rPr>
          <w:sz w:val="28"/>
          <w:szCs w:val="28"/>
        </w:rPr>
        <w:t>закона № 161-ФЗ</w:t>
      </w:r>
      <w:r w:rsidRPr="00D908B1">
        <w:rPr>
          <w:sz w:val="28"/>
          <w:szCs w:val="28"/>
        </w:rPr>
        <w:t xml:space="preserve">. </w:t>
      </w:r>
    </w:p>
    <w:p w:rsidR="00A619CE" w:rsidRPr="00A619CE" w:rsidP="00A619CE" w14:paraId="487BA4F2" w14:textId="77777777">
      <w:pPr>
        <w:pStyle w:val="ConsPlusNormal"/>
        <w:numPr>
          <w:ilvl w:val="0"/>
          <w:numId w:val="2"/>
        </w:numPr>
        <w:spacing w:line="360" w:lineRule="auto"/>
        <w:ind w:left="0" w:firstLine="851"/>
        <w:contextualSpacing/>
        <w:jc w:val="both"/>
        <w:rPr>
          <w:sz w:val="28"/>
          <w:szCs w:val="28"/>
        </w:rPr>
      </w:pPr>
      <w:r w:rsidRPr="00A619CE">
        <w:rPr>
          <w:sz w:val="28"/>
          <w:szCs w:val="28"/>
        </w:rPr>
        <w:t>Настоящее Указание подлежит официальному опубликованию и в соответствии с решением Совета директоров Банка России (протокол заседания Совета директоров Банка России от __ _____ 2026 года № ПСД-__) вступает в силу со дня официального опубликования, но не ранее 1 сентября 2026 года, за исключением положений, для которых настоящим пунктом установлены иные сроки вступления их в силу.</w:t>
      </w:r>
    </w:p>
    <w:p w:rsidR="007A1C53" w:rsidRPr="00A619CE" w:rsidP="00A619CE" w14:paraId="567548CE" w14:textId="0131EABC">
      <w:pPr>
        <w:pStyle w:val="ConsPlusNormal"/>
        <w:spacing w:line="360" w:lineRule="auto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Пункты 3 и 4</w:t>
      </w:r>
      <w:r w:rsidRPr="00A619CE">
        <w:rPr>
          <w:sz w:val="28"/>
          <w:szCs w:val="28"/>
        </w:rPr>
        <w:t xml:space="preserve"> настоящего Указания вступает</w:t>
      </w:r>
      <w:r>
        <w:rPr>
          <w:sz w:val="28"/>
          <w:szCs w:val="28"/>
        </w:rPr>
        <w:t xml:space="preserve"> в силу с 1 сентября</w:t>
      </w:r>
      <w:r>
        <w:rPr>
          <w:sz w:val="28"/>
          <w:szCs w:val="28"/>
        </w:rPr>
        <w:br/>
        <w:t>2027 года</w:t>
      </w:r>
      <w:r w:rsidRPr="00A619CE" w:rsidR="003A1F2B">
        <w:rPr>
          <w:sz w:val="28"/>
          <w:szCs w:val="28"/>
        </w:rPr>
        <w:t>.</w:t>
      </w:r>
    </w:p>
    <w:p w:rsidR="009E7DF2" w:rsidRPr="00D908B1" w:rsidP="009E7DF2" w14:paraId="115D24A7" w14:textId="77777777">
      <w:pPr>
        <w:pStyle w:val="ConsPlusNormal"/>
        <w:numPr>
          <w:ilvl w:val="0"/>
          <w:numId w:val="2"/>
        </w:numPr>
        <w:spacing w:line="360" w:lineRule="auto"/>
        <w:ind w:left="0" w:firstLine="851"/>
        <w:contextualSpacing/>
        <w:jc w:val="both"/>
        <w:rPr>
          <w:sz w:val="28"/>
          <w:szCs w:val="28"/>
        </w:rPr>
      </w:pPr>
      <w:r w:rsidRPr="00D908B1">
        <w:rPr>
          <w:sz w:val="28"/>
          <w:szCs w:val="28"/>
        </w:rPr>
        <w:t>С</w:t>
      </w:r>
      <w:r w:rsidRPr="00D908B1" w:rsidR="003A1F2B">
        <w:rPr>
          <w:sz w:val="28"/>
          <w:szCs w:val="28"/>
        </w:rPr>
        <w:t>о дня вступления в силу настоящего Указания</w:t>
      </w:r>
      <w:r w:rsidRPr="00D908B1">
        <w:rPr>
          <w:sz w:val="28"/>
          <w:szCs w:val="28"/>
        </w:rPr>
        <w:t xml:space="preserve">, но не позднее 1 сентября 2027 года </w:t>
      </w:r>
      <w:r w:rsidRPr="00D908B1" w:rsidR="003A1F2B">
        <w:rPr>
          <w:sz w:val="28"/>
          <w:szCs w:val="28"/>
        </w:rPr>
        <w:t>оператор по переводу денеж</w:t>
      </w:r>
      <w:r w:rsidRPr="00D908B1" w:rsidR="00B67B74">
        <w:rPr>
          <w:sz w:val="28"/>
          <w:szCs w:val="28"/>
        </w:rPr>
        <w:t xml:space="preserve">ных средств обязан </w:t>
      </w:r>
      <w:r w:rsidRPr="00D908B1" w:rsidR="006C57F7">
        <w:rPr>
          <w:sz w:val="28"/>
          <w:szCs w:val="28"/>
        </w:rPr>
        <w:t xml:space="preserve">в порядке, установленном настоящим Указанием, </w:t>
      </w:r>
      <w:r w:rsidRPr="00D908B1" w:rsidR="00B67B74">
        <w:rPr>
          <w:sz w:val="28"/>
          <w:szCs w:val="28"/>
        </w:rPr>
        <w:t>направить</w:t>
      </w:r>
      <w:r w:rsidRPr="00D908B1" w:rsidR="006C57F7">
        <w:rPr>
          <w:sz w:val="28"/>
          <w:szCs w:val="28"/>
        </w:rPr>
        <w:t xml:space="preserve"> </w:t>
      </w:r>
      <w:r w:rsidRPr="00D908B1" w:rsidR="00B67B74">
        <w:rPr>
          <w:sz w:val="28"/>
          <w:szCs w:val="28"/>
        </w:rPr>
        <w:t>в е</w:t>
      </w:r>
      <w:r w:rsidRPr="00D908B1" w:rsidR="003A1F2B">
        <w:rPr>
          <w:sz w:val="28"/>
          <w:szCs w:val="28"/>
        </w:rPr>
        <w:t xml:space="preserve">диную систему учета </w:t>
      </w:r>
      <w:bookmarkStart w:id="0" w:name="_GoBack"/>
      <w:bookmarkEnd w:id="0"/>
      <w:r w:rsidRPr="00D908B1" w:rsidR="003A1F2B">
        <w:rPr>
          <w:sz w:val="28"/>
          <w:szCs w:val="28"/>
        </w:rPr>
        <w:t xml:space="preserve">платежных карт </w:t>
      </w:r>
      <w:r w:rsidRPr="00D908B1" w:rsidR="00A97CD9">
        <w:rPr>
          <w:sz w:val="28"/>
          <w:szCs w:val="28"/>
        </w:rPr>
        <w:t xml:space="preserve">следующую </w:t>
      </w:r>
      <w:r w:rsidRPr="00D908B1" w:rsidR="003A1F2B">
        <w:rPr>
          <w:sz w:val="28"/>
          <w:szCs w:val="28"/>
        </w:rPr>
        <w:t>информацию</w:t>
      </w:r>
      <w:r w:rsidRPr="00D908B1" w:rsidR="00A97CD9">
        <w:rPr>
          <w:sz w:val="28"/>
          <w:szCs w:val="28"/>
        </w:rPr>
        <w:t>:</w:t>
      </w:r>
    </w:p>
    <w:p w:rsidR="009E7DF2" w:rsidRPr="00D908B1" w:rsidP="009E7DF2" w14:paraId="25805F8C" w14:textId="77777777">
      <w:pPr>
        <w:pStyle w:val="ConsPlusNormal"/>
        <w:spacing w:line="360" w:lineRule="auto"/>
        <w:ind w:firstLine="993"/>
        <w:contextualSpacing/>
        <w:jc w:val="both"/>
        <w:rPr>
          <w:sz w:val="28"/>
          <w:szCs w:val="28"/>
        </w:rPr>
      </w:pPr>
      <w:r w:rsidRPr="00D908B1">
        <w:rPr>
          <w:sz w:val="28"/>
          <w:szCs w:val="28"/>
        </w:rPr>
        <w:t xml:space="preserve"> </w:t>
      </w:r>
      <w:r w:rsidRPr="00D908B1" w:rsidR="003A1F2B">
        <w:rPr>
          <w:sz w:val="28"/>
          <w:szCs w:val="28"/>
        </w:rPr>
        <w:t xml:space="preserve">о </w:t>
      </w:r>
      <w:r w:rsidRPr="00D908B1" w:rsidR="006C57F7">
        <w:rPr>
          <w:sz w:val="28"/>
          <w:szCs w:val="28"/>
        </w:rPr>
        <w:t xml:space="preserve">номерах и </w:t>
      </w:r>
      <w:r w:rsidRPr="00D908B1" w:rsidR="006C57F7">
        <w:rPr>
          <w:sz w:val="28"/>
          <w:szCs w:val="28"/>
        </w:rPr>
        <w:t>видах</w:t>
      </w:r>
      <w:r w:rsidRPr="00D908B1" w:rsidR="006C57F7">
        <w:rPr>
          <w:sz w:val="28"/>
          <w:szCs w:val="28"/>
        </w:rPr>
        <w:t xml:space="preserve"> предоставленных до </w:t>
      </w:r>
      <w:r w:rsidRPr="00D908B1" w:rsidR="00C74263">
        <w:rPr>
          <w:sz w:val="28"/>
          <w:szCs w:val="28"/>
        </w:rPr>
        <w:t>дня вступления в силу настоящего Указания</w:t>
      </w:r>
      <w:r w:rsidRPr="00D908B1" w:rsidR="00C74263">
        <w:rPr>
          <w:sz w:val="28"/>
          <w:szCs w:val="28"/>
        </w:rPr>
        <w:t xml:space="preserve"> </w:t>
      </w:r>
      <w:r w:rsidRPr="00D908B1" w:rsidR="006C57F7">
        <w:rPr>
          <w:sz w:val="28"/>
          <w:szCs w:val="28"/>
        </w:rPr>
        <w:t>клиентам – физическим лицам платежных картах, использование которых не прекращено, а также ИНН</w:t>
      </w:r>
      <w:r w:rsidRPr="00D908B1">
        <w:rPr>
          <w:sz w:val="28"/>
          <w:szCs w:val="28"/>
        </w:rPr>
        <w:t xml:space="preserve"> </w:t>
      </w:r>
      <w:r w:rsidRPr="00D908B1" w:rsidR="006C57F7">
        <w:rPr>
          <w:sz w:val="28"/>
          <w:szCs w:val="28"/>
        </w:rPr>
        <w:t xml:space="preserve">клиентов – физических лиц, которым предоставлены </w:t>
      </w:r>
      <w:r w:rsidRPr="00D908B1" w:rsidR="00DA5868">
        <w:rPr>
          <w:sz w:val="28"/>
          <w:szCs w:val="28"/>
        </w:rPr>
        <w:t xml:space="preserve">такие </w:t>
      </w:r>
      <w:r w:rsidRPr="00D908B1" w:rsidR="006C57F7">
        <w:rPr>
          <w:sz w:val="28"/>
          <w:szCs w:val="28"/>
        </w:rPr>
        <w:t>платежные карты</w:t>
      </w:r>
      <w:r w:rsidRPr="00D908B1">
        <w:rPr>
          <w:sz w:val="28"/>
          <w:szCs w:val="28"/>
        </w:rPr>
        <w:t>;</w:t>
      </w:r>
      <w:r w:rsidRPr="00D908B1" w:rsidR="006C57F7">
        <w:rPr>
          <w:sz w:val="28"/>
          <w:szCs w:val="28"/>
        </w:rPr>
        <w:t xml:space="preserve"> </w:t>
      </w:r>
    </w:p>
    <w:p w:rsidR="00297171" w:rsidRPr="00D908B1" w:rsidP="009E7DF2" w14:paraId="2F77325D" w14:textId="48DE52AE">
      <w:pPr>
        <w:pStyle w:val="ConsPlusNormal"/>
        <w:spacing w:line="360" w:lineRule="auto"/>
        <w:ind w:firstLine="993"/>
        <w:contextualSpacing/>
        <w:jc w:val="both"/>
        <w:rPr>
          <w:sz w:val="28"/>
          <w:szCs w:val="28"/>
        </w:rPr>
      </w:pPr>
      <w:r w:rsidRPr="00D908B1">
        <w:rPr>
          <w:sz w:val="28"/>
          <w:szCs w:val="28"/>
        </w:rPr>
        <w:t xml:space="preserve">о номерах и </w:t>
      </w:r>
      <w:r w:rsidRPr="00D908B1">
        <w:rPr>
          <w:sz w:val="28"/>
          <w:szCs w:val="28"/>
        </w:rPr>
        <w:t>видах</w:t>
      </w:r>
      <w:r w:rsidRPr="00D908B1">
        <w:rPr>
          <w:sz w:val="28"/>
          <w:szCs w:val="28"/>
        </w:rPr>
        <w:t xml:space="preserve"> предоставленных клиентам – физическим лицам платежных картах, использование которых не прекращено, а также ИНН клиентов – физических лиц, которым предоставлены такие платежные карты, в случаях, когда информация об ИНН клиента-физического лица получена оператором по переводу денежных средств, после предоставления такому клиенту платежной карты.</w:t>
      </w:r>
    </w:p>
    <w:tbl>
      <w:tblPr>
        <w:tblStyle w:val="TableGrid"/>
        <w:tblW w:w="9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8"/>
        <w:gridCol w:w="4612"/>
      </w:tblGrid>
      <w:tr w14:paraId="572D92C1" w14:textId="77777777">
        <w:tblPrEx>
          <w:tblW w:w="924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15"/>
        </w:trPr>
        <w:tc>
          <w:tcPr>
            <w:tcW w:w="4628" w:type="dxa"/>
          </w:tcPr>
          <w:p w:rsidR="009E7DF2" w:rsidRPr="00D908B1" w14:paraId="0C0B306B" w14:textId="77777777">
            <w:pPr>
              <w:spacing w:line="360" w:lineRule="auto"/>
              <w:rPr>
                <w:rFonts w:eastAsiaTheme="minorEastAsia"/>
                <w:sz w:val="28"/>
                <w:szCs w:val="28"/>
              </w:rPr>
            </w:pPr>
          </w:p>
          <w:p w:rsidR="007A1C53" w:rsidRPr="00D908B1" w14:paraId="04996FBB" w14:textId="77777777">
            <w:pPr>
              <w:spacing w:line="360" w:lineRule="auto"/>
              <w:rPr>
                <w:rFonts w:eastAsiaTheme="minorEastAsia"/>
                <w:sz w:val="28"/>
                <w:szCs w:val="28"/>
              </w:rPr>
            </w:pPr>
          </w:p>
          <w:p w:rsidR="007A1C53" w:rsidRPr="00D908B1" w14:paraId="0D600837" w14:textId="77777777">
            <w:pPr>
              <w:spacing w:line="360" w:lineRule="auto"/>
              <w:rPr>
                <w:rFonts w:eastAsiaTheme="minorEastAsia"/>
                <w:sz w:val="28"/>
                <w:szCs w:val="28"/>
              </w:rPr>
            </w:pPr>
            <w:r w:rsidRPr="00D908B1">
              <w:rPr>
                <w:rFonts w:eastAsiaTheme="minorEastAsia"/>
                <w:sz w:val="28"/>
                <w:szCs w:val="28"/>
              </w:rPr>
              <w:t>Председатель</w:t>
            </w:r>
          </w:p>
          <w:p w:rsidR="007A1C53" w:rsidRPr="00D908B1" w14:paraId="3827F10F" w14:textId="77777777">
            <w:pPr>
              <w:spacing w:line="360" w:lineRule="auto"/>
              <w:rPr>
                <w:rFonts w:eastAsiaTheme="minorEastAsia"/>
                <w:sz w:val="28"/>
                <w:szCs w:val="28"/>
              </w:rPr>
            </w:pPr>
            <w:r w:rsidRPr="00D908B1">
              <w:rPr>
                <w:rFonts w:eastAsiaTheme="minorEastAsia"/>
                <w:sz w:val="28"/>
                <w:szCs w:val="28"/>
              </w:rPr>
              <w:t>Центрального банка</w:t>
            </w:r>
          </w:p>
          <w:p w:rsidR="007A1C53" w:rsidRPr="00D908B1" w14:paraId="6F57A66F" w14:textId="77777777">
            <w:pPr>
              <w:spacing w:line="360" w:lineRule="auto"/>
              <w:rPr>
                <w:rFonts w:eastAsiaTheme="minorEastAsia"/>
                <w:sz w:val="28"/>
                <w:szCs w:val="28"/>
              </w:rPr>
            </w:pPr>
            <w:r w:rsidRPr="00D908B1">
              <w:rPr>
                <w:rFonts w:eastAsiaTheme="minorEastAsia"/>
                <w:sz w:val="28"/>
                <w:szCs w:val="28"/>
              </w:rPr>
              <w:t>Российской Федерации</w:t>
            </w:r>
          </w:p>
        </w:tc>
        <w:tc>
          <w:tcPr>
            <w:tcW w:w="4612" w:type="dxa"/>
            <w:vAlign w:val="bottom"/>
          </w:tcPr>
          <w:p w:rsidR="007A1C53" w:rsidRPr="00D908B1" w14:paraId="1098F64D" w14:textId="77777777">
            <w:pPr>
              <w:spacing w:line="360" w:lineRule="auto"/>
              <w:jc w:val="right"/>
              <w:rPr>
                <w:rFonts w:eastAsiaTheme="minorEastAsia"/>
                <w:sz w:val="28"/>
                <w:szCs w:val="28"/>
              </w:rPr>
            </w:pPr>
            <w:r w:rsidRPr="00D908B1">
              <w:rPr>
                <w:rFonts w:eastAsiaTheme="minorEastAsia"/>
                <w:sz w:val="28"/>
                <w:szCs w:val="28"/>
              </w:rPr>
              <w:t xml:space="preserve">Э.С. </w:t>
            </w:r>
            <w:r w:rsidRPr="00D908B1">
              <w:rPr>
                <w:rFonts w:eastAsiaTheme="minorEastAsia"/>
                <w:sz w:val="28"/>
                <w:szCs w:val="28"/>
              </w:rPr>
              <w:t>Набиуллина</w:t>
            </w:r>
          </w:p>
        </w:tc>
      </w:tr>
    </w:tbl>
    <w:p w:rsidR="007A1C53" w:rsidRPr="00D908B1" w14:paraId="0A63EB74" w14:textId="77777777">
      <w:pPr>
        <w:rPr>
          <w:sz w:val="28"/>
          <w:szCs w:val="28"/>
        </w:rPr>
      </w:pPr>
    </w:p>
    <w:sectPr w:rsidSect="00034AE9">
      <w:footerReference w:type="default" r:id="rId5"/>
      <w:footerReference w:type="first" r:id="rId6"/>
      <w:pgSz w:w="11906" w:h="16838"/>
      <w:pgMar w:top="1134" w:right="850" w:bottom="184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font w:name="Liberation Sans">
    <w:altName w:val="Arial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p w:rsidR="00A8226A" w14:paraId="690094C3" w14:textId="77777777">
    <w:pPr>
      <w:spacing w:after="0"/>
      <w:rPr>
        <w:rFonts w:ascii="Times New Roman" w:eastAsia="Times New Roman" w:hAnsi="Times New Roman" w:cs="Times New Roman"/>
        <w:color w:val="D9D9D9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p w:rsidR="00A8226A" w14:paraId="069C574E" w14:textId="77777777">
    <w:pPr>
      <w:spacing w:after="0"/>
      <w:ind w:right="1740"/>
      <w:rPr>
        <w:rFonts w:ascii="Times New Roman" w:eastAsia="Times New Roman" w:hAnsi="Times New Roman" w:cs="Times New Roman"/>
        <w:color w:val="D9D9D9"/>
        <w:sz w:val="18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abstractNum w:abstractNumId="0">
    <w:nsid w:val="05635B25"/>
    <w:multiLevelType w:val="hybridMultilevel"/>
    <w:tmpl w:val="A4C0DB72"/>
    <w:lvl w:ilvl="0">
      <w:start w:val="1"/>
      <w:numFmt w:val="bullet"/>
      <w:lvlText w:val="–"/>
      <w:lvlJc w:val="left"/>
      <w:pPr>
        <w:ind w:left="720" w:hanging="360"/>
      </w:pPr>
      <w:rPr>
        <w:rFonts w:ascii="Liberation Sans" w:eastAsia="Liberation Sans" w:hAnsi="Liberation Sans" w:cs="Liberation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15114FB0"/>
    <w:multiLevelType w:val="hybridMultilevel"/>
    <w:tmpl w:val="C52819B0"/>
    <w:lvl w:ilvl="0">
      <w:start w:val="1"/>
      <w:numFmt w:val="bullet"/>
      <w:lvlText w:val="–"/>
      <w:lvlJc w:val="left"/>
      <w:pPr>
        <w:ind w:left="1560" w:hanging="360"/>
      </w:pPr>
      <w:rPr>
        <w:rFonts w:ascii="Liberation Sans" w:eastAsia="Liberation Sans" w:hAnsi="Liberation Sans" w:cs="Liberation Sans" w:hint="default"/>
      </w:rPr>
    </w:lvl>
    <w:lvl w:ilvl="1">
      <w:start w:val="1"/>
      <w:numFmt w:val="bullet"/>
      <w:lvlText w:val="o"/>
      <w:lvlJc w:val="left"/>
      <w:pPr>
        <w:ind w:left="228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300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72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44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16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88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60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320" w:hanging="360"/>
      </w:pPr>
      <w:rPr>
        <w:rFonts w:ascii="Wingdings" w:eastAsia="Wingdings" w:hAnsi="Wingdings" w:cs="Wingdings" w:hint="default"/>
      </w:rPr>
    </w:lvl>
  </w:abstractNum>
  <w:abstractNum w:abstractNumId="2">
    <w:nsid w:val="1B605C4F"/>
    <w:multiLevelType w:val="hybridMultilevel"/>
    <w:tmpl w:val="F4B8E826"/>
    <w:lvl w:ilvl="0">
      <w:start w:val="1"/>
      <w:numFmt w:val="decimal"/>
      <w:lvlText w:val="%1."/>
      <w:lvlJc w:val="left"/>
      <w:pPr>
        <w:ind w:left="910" w:hanging="370"/>
      </w:pPr>
      <w:rPr>
        <w:b w:val="0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BF93B4D"/>
    <w:multiLevelType w:val="multilevel"/>
    <w:tmpl w:val="62107AF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4">
    <w:nsid w:val="2E68173C"/>
    <w:multiLevelType w:val="hybridMultilevel"/>
    <w:tmpl w:val="2E1C5592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F1115"/>
        <w:sz w:val="24"/>
      </w:rPr>
    </w:lvl>
    <w:lvl w:ilvl="1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F1115"/>
        <w:sz w:val="24"/>
      </w:rPr>
    </w:lvl>
    <w:lvl w:ilvl="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F1115"/>
        <w:sz w:val="24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F1115"/>
        <w:sz w:val="24"/>
      </w:rPr>
    </w:lvl>
    <w:lvl w:ilvl="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F1115"/>
        <w:sz w:val="24"/>
      </w:rPr>
    </w:lvl>
    <w:lvl w:ilvl="5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F1115"/>
        <w:sz w:val="24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F1115"/>
        <w:sz w:val="24"/>
      </w:rPr>
    </w:lvl>
    <w:lvl w:ilvl="7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F1115"/>
        <w:sz w:val="24"/>
      </w:rPr>
    </w:lvl>
    <w:lvl w:ilvl="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F1115"/>
        <w:sz w:val="24"/>
      </w:rPr>
    </w:lvl>
  </w:abstractNum>
  <w:abstractNum w:abstractNumId="5">
    <w:nsid w:val="424F070B"/>
    <w:multiLevelType w:val="multilevel"/>
    <w:tmpl w:val="6A86F070"/>
    <w:lvl w:ilvl="0">
      <w:start w:val="1"/>
      <w:numFmt w:val="decimal"/>
      <w:lvlText w:val="%1."/>
      <w:lvlJc w:val="left"/>
      <w:pPr>
        <w:ind w:left="1505" w:hanging="370"/>
      </w:pPr>
      <w:rPr>
        <w:rFonts w:ascii="Times New Roman" w:hAnsi="Times New Roman" w:eastAsiaTheme="minorEastAsia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6">
    <w:nsid w:val="42916466"/>
    <w:multiLevelType w:val="multilevel"/>
    <w:tmpl w:val="62107AF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7">
    <w:nsid w:val="45C97B4B"/>
    <w:multiLevelType w:val="hybridMultilevel"/>
    <w:tmpl w:val="5E58AB42"/>
    <w:lvl w:ilvl="0">
      <w:start w:val="1"/>
      <w:numFmt w:val="decimal"/>
      <w:lvlText w:val="%1."/>
      <w:lvlJc w:val="left"/>
      <w:pPr>
        <w:ind w:left="1449" w:hanging="370"/>
      </w:pPr>
      <w:rPr>
        <w:rFonts w:ascii="Times New Roman" w:hAnsi="Times New Roman" w:eastAsiaTheme="minorEastAsia" w:cs="Times New Roman"/>
        <w:b w:val="0"/>
      </w:rPr>
    </w:lvl>
    <w:lvl w:ilvl="1">
      <w:start w:val="1"/>
      <w:numFmt w:val="lowerLetter"/>
      <w:lvlText w:val="%2."/>
      <w:lvlJc w:val="left"/>
      <w:pPr>
        <w:ind w:left="1979" w:hanging="360"/>
      </w:pPr>
    </w:lvl>
    <w:lvl w:ilvl="2">
      <w:start w:val="1"/>
      <w:numFmt w:val="lowerRoman"/>
      <w:lvlText w:val="%3."/>
      <w:lvlJc w:val="right"/>
      <w:pPr>
        <w:ind w:left="2699" w:hanging="180"/>
      </w:pPr>
    </w:lvl>
    <w:lvl w:ilvl="3">
      <w:start w:val="1"/>
      <w:numFmt w:val="decimal"/>
      <w:lvlText w:val="%4."/>
      <w:lvlJc w:val="left"/>
      <w:pPr>
        <w:ind w:left="3419" w:hanging="360"/>
      </w:pPr>
    </w:lvl>
    <w:lvl w:ilvl="4">
      <w:start w:val="1"/>
      <w:numFmt w:val="lowerLetter"/>
      <w:lvlText w:val="%5."/>
      <w:lvlJc w:val="left"/>
      <w:pPr>
        <w:ind w:left="4139" w:hanging="360"/>
      </w:pPr>
    </w:lvl>
    <w:lvl w:ilvl="5">
      <w:start w:val="1"/>
      <w:numFmt w:val="lowerRoman"/>
      <w:lvlText w:val="%6."/>
      <w:lvlJc w:val="right"/>
      <w:pPr>
        <w:ind w:left="4859" w:hanging="180"/>
      </w:pPr>
    </w:lvl>
    <w:lvl w:ilvl="6">
      <w:start w:val="1"/>
      <w:numFmt w:val="decimal"/>
      <w:lvlText w:val="%7."/>
      <w:lvlJc w:val="left"/>
      <w:pPr>
        <w:ind w:left="5579" w:hanging="360"/>
      </w:pPr>
    </w:lvl>
    <w:lvl w:ilvl="7">
      <w:start w:val="1"/>
      <w:numFmt w:val="lowerLetter"/>
      <w:lvlText w:val="%8."/>
      <w:lvlJc w:val="left"/>
      <w:pPr>
        <w:ind w:left="6299" w:hanging="360"/>
      </w:pPr>
    </w:lvl>
    <w:lvl w:ilvl="8">
      <w:start w:val="1"/>
      <w:numFmt w:val="lowerRoman"/>
      <w:lvlText w:val="%9."/>
      <w:lvlJc w:val="right"/>
      <w:pPr>
        <w:ind w:left="7019" w:hanging="180"/>
      </w:pPr>
    </w:lvl>
  </w:abstractNum>
  <w:abstractNum w:abstractNumId="8">
    <w:nsid w:val="50FC1EF2"/>
    <w:multiLevelType w:val="hybridMultilevel"/>
    <w:tmpl w:val="E8162820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F1115"/>
        <w:sz w:val="24"/>
      </w:rPr>
    </w:lvl>
    <w:lvl w:ilvl="1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F1115"/>
        <w:sz w:val="24"/>
      </w:rPr>
    </w:lvl>
    <w:lvl w:ilvl="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F1115"/>
        <w:sz w:val="24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F1115"/>
        <w:sz w:val="24"/>
      </w:rPr>
    </w:lvl>
    <w:lvl w:ilvl="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F1115"/>
        <w:sz w:val="24"/>
      </w:rPr>
    </w:lvl>
    <w:lvl w:ilvl="5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F1115"/>
        <w:sz w:val="24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F1115"/>
        <w:sz w:val="24"/>
      </w:rPr>
    </w:lvl>
    <w:lvl w:ilvl="7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F1115"/>
        <w:sz w:val="24"/>
      </w:rPr>
    </w:lvl>
    <w:lvl w:ilvl="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F1115"/>
        <w:sz w:val="24"/>
      </w:rPr>
    </w:lvl>
  </w:abstractNum>
  <w:abstractNum w:abstractNumId="9">
    <w:nsid w:val="55904C84"/>
    <w:multiLevelType w:val="multilevel"/>
    <w:tmpl w:val="AF12CA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BAB6923"/>
    <w:multiLevelType w:val="multilevel"/>
    <w:tmpl w:val="10AE5924"/>
    <w:styleLink w:val="10"/>
    <w:lvl w:ilvl="0">
      <w:start w:val="3"/>
      <w:numFmt w:val="decimal"/>
      <w:pStyle w:val="10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CFD2466"/>
    <w:multiLevelType w:val="hybridMultilevel"/>
    <w:tmpl w:val="51F8F41E"/>
    <w:lvl w:ilvl="0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0F1115"/>
        <w:sz w:val="24"/>
      </w:rPr>
    </w:lvl>
    <w:lvl w:ilvl="1">
      <w:start w:val="1"/>
      <w:numFmt w:val="decimal"/>
      <w:lvlText w:val="%2."/>
      <w:lvlJc w:val="right"/>
      <w:pPr>
        <w:ind w:left="1429" w:hanging="360"/>
      </w:pPr>
    </w:lvl>
    <w:lvl w:ilvl="2">
      <w:start w:val="1"/>
      <w:numFmt w:val="decimal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right"/>
      <w:pPr>
        <w:ind w:left="2869" w:hanging="360"/>
      </w:pPr>
    </w:lvl>
    <w:lvl w:ilvl="4">
      <w:start w:val="1"/>
      <w:numFmt w:val="decimal"/>
      <w:lvlText w:val="%5."/>
      <w:lvlJc w:val="right"/>
      <w:pPr>
        <w:ind w:left="3589" w:hanging="360"/>
      </w:pPr>
    </w:lvl>
    <w:lvl w:ilvl="5">
      <w:start w:val="1"/>
      <w:numFmt w:val="decimal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right"/>
      <w:pPr>
        <w:ind w:left="5029" w:hanging="360"/>
      </w:pPr>
    </w:lvl>
    <w:lvl w:ilvl="7">
      <w:start w:val="1"/>
      <w:numFmt w:val="decimal"/>
      <w:lvlText w:val="%8."/>
      <w:lvlJc w:val="right"/>
      <w:pPr>
        <w:ind w:left="5749" w:hanging="360"/>
      </w:pPr>
    </w:lvl>
    <w:lvl w:ilvl="8">
      <w:start w:val="1"/>
      <w:numFmt w:val="decimal"/>
      <w:lvlText w:val="%9."/>
      <w:lvlJc w:val="right"/>
      <w:pPr>
        <w:ind w:left="6469" w:hanging="180"/>
      </w:pPr>
    </w:lvl>
  </w:abstractNum>
  <w:abstractNum w:abstractNumId="12">
    <w:nsid w:val="5DA717B3"/>
    <w:multiLevelType w:val="multilevel"/>
    <w:tmpl w:val="10AE5924"/>
    <w:numStyleLink w:val="10"/>
  </w:abstractNum>
  <w:abstractNum w:abstractNumId="13">
    <w:nsid w:val="5FF80594"/>
    <w:multiLevelType w:val="hybridMultilevel"/>
    <w:tmpl w:val="4C1637C0"/>
    <w:lvl w:ilvl="0">
      <w:start w:val="1"/>
      <w:numFmt w:val="bullet"/>
      <w:lvlText w:val="–"/>
      <w:lvlJc w:val="left"/>
      <w:pPr>
        <w:ind w:left="1560" w:hanging="360"/>
      </w:pPr>
      <w:rPr>
        <w:rFonts w:ascii="Liberation Sans" w:eastAsia="Liberation Sans" w:hAnsi="Liberation Sans" w:cs="Liberation Sans" w:hint="default"/>
      </w:rPr>
    </w:lvl>
    <w:lvl w:ilvl="1">
      <w:start w:val="1"/>
      <w:numFmt w:val="bullet"/>
      <w:lvlText w:val="o"/>
      <w:lvlJc w:val="left"/>
      <w:pPr>
        <w:ind w:left="228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300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72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44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16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88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60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320" w:hanging="360"/>
      </w:pPr>
      <w:rPr>
        <w:rFonts w:ascii="Wingdings" w:eastAsia="Wingdings" w:hAnsi="Wingdings" w:cs="Wingdings" w:hint="default"/>
      </w:rPr>
    </w:lvl>
  </w:abstractNum>
  <w:abstractNum w:abstractNumId="14">
    <w:nsid w:val="632B2E3F"/>
    <w:multiLevelType w:val="hybridMultilevel"/>
    <w:tmpl w:val="B51A3D04"/>
    <w:lvl w:ilvl="0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0F1115"/>
        <w:sz w:val="24"/>
      </w:rPr>
    </w:lvl>
    <w:lvl w:ilvl="1">
      <w:start w:val="1"/>
      <w:numFmt w:val="decimal"/>
      <w:lvlText w:val="%2."/>
      <w:lvlJc w:val="right"/>
      <w:pPr>
        <w:ind w:left="1429" w:hanging="360"/>
      </w:pPr>
    </w:lvl>
    <w:lvl w:ilvl="2">
      <w:start w:val="1"/>
      <w:numFmt w:val="decimal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right"/>
      <w:pPr>
        <w:ind w:left="2869" w:hanging="360"/>
      </w:pPr>
    </w:lvl>
    <w:lvl w:ilvl="4">
      <w:start w:val="1"/>
      <w:numFmt w:val="decimal"/>
      <w:lvlText w:val="%5."/>
      <w:lvlJc w:val="right"/>
      <w:pPr>
        <w:ind w:left="3589" w:hanging="360"/>
      </w:pPr>
    </w:lvl>
    <w:lvl w:ilvl="5">
      <w:start w:val="1"/>
      <w:numFmt w:val="decimal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right"/>
      <w:pPr>
        <w:ind w:left="5029" w:hanging="360"/>
      </w:pPr>
    </w:lvl>
    <w:lvl w:ilvl="7">
      <w:start w:val="1"/>
      <w:numFmt w:val="decimal"/>
      <w:lvlText w:val="%8."/>
      <w:lvlJc w:val="right"/>
      <w:pPr>
        <w:ind w:left="5749" w:hanging="360"/>
      </w:pPr>
    </w:lvl>
    <w:lvl w:ilvl="8">
      <w:start w:val="1"/>
      <w:numFmt w:val="decimal"/>
      <w:lvlText w:val="%9."/>
      <w:lvlJc w:val="right"/>
      <w:pPr>
        <w:ind w:left="6469" w:hanging="180"/>
      </w:pPr>
    </w:lvl>
  </w:abstractNum>
  <w:abstractNum w:abstractNumId="15">
    <w:nsid w:val="64252841"/>
    <w:multiLevelType w:val="hybridMultilevel"/>
    <w:tmpl w:val="20AA9770"/>
    <w:lvl w:ilvl="0">
      <w:start w:val="1"/>
      <w:numFmt w:val="bullet"/>
      <w:lvlText w:val="–"/>
      <w:lvlJc w:val="left"/>
      <w:pPr>
        <w:ind w:left="1560" w:hanging="360"/>
      </w:pPr>
      <w:rPr>
        <w:rFonts w:ascii="Liberation Sans" w:eastAsia="Liberation Sans" w:hAnsi="Liberation Sans" w:cs="Liberation Sans" w:hint="default"/>
      </w:rPr>
    </w:lvl>
    <w:lvl w:ilvl="1">
      <w:start w:val="1"/>
      <w:numFmt w:val="bullet"/>
      <w:lvlText w:val="o"/>
      <w:lvlJc w:val="left"/>
      <w:pPr>
        <w:ind w:left="228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300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72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44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16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88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60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320" w:hanging="360"/>
      </w:pPr>
      <w:rPr>
        <w:rFonts w:ascii="Wingdings" w:eastAsia="Wingdings" w:hAnsi="Wingdings" w:cs="Wingdings" w:hint="default"/>
      </w:rPr>
    </w:lvl>
  </w:abstractNum>
  <w:abstractNum w:abstractNumId="16">
    <w:nsid w:val="6E7B4175"/>
    <w:multiLevelType w:val="hybridMultilevel"/>
    <w:tmpl w:val="D8F26650"/>
    <w:lvl w:ilvl="0">
      <w:start w:val="1"/>
      <w:numFmt w:val="bullet"/>
      <w:lvlText w:val="–"/>
      <w:lvlJc w:val="left"/>
      <w:pPr>
        <w:ind w:left="1560" w:hanging="360"/>
      </w:pPr>
      <w:rPr>
        <w:rFonts w:ascii="Liberation Sans" w:eastAsia="Liberation Sans" w:hAnsi="Liberation Sans" w:cs="Liberation Sans" w:hint="default"/>
      </w:rPr>
    </w:lvl>
    <w:lvl w:ilvl="1">
      <w:start w:val="1"/>
      <w:numFmt w:val="bullet"/>
      <w:lvlText w:val="o"/>
      <w:lvlJc w:val="left"/>
      <w:pPr>
        <w:ind w:left="228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300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72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44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16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88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60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320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9"/>
  </w:num>
  <w:num w:numId="5">
    <w:abstractNumId w:val="12"/>
  </w:num>
  <w:num w:numId="6">
    <w:abstractNumId w:val="10"/>
  </w:num>
  <w:num w:numId="7">
    <w:abstractNumId w:val="14"/>
  </w:num>
  <w:num w:numId="8">
    <w:abstractNumId w:val="4"/>
  </w:num>
  <w:num w:numId="9">
    <w:abstractNumId w:val="11"/>
  </w:num>
  <w:num w:numId="10">
    <w:abstractNumId w:val="8"/>
  </w:num>
  <w:num w:numId="11">
    <w:abstractNumId w:val="15"/>
  </w:num>
  <w:num w:numId="12">
    <w:abstractNumId w:val="16"/>
  </w:num>
  <w:num w:numId="13">
    <w:abstractNumId w:val="1"/>
  </w:num>
  <w:num w:numId="14">
    <w:abstractNumId w:val="13"/>
  </w:num>
  <w:num w:numId="15">
    <w:abstractNumId w:val="0"/>
  </w:num>
  <w:num w:numId="16">
    <w:abstractNumId w:val="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C53"/>
    <w:rsid w:val="00014443"/>
    <w:rsid w:val="00031938"/>
    <w:rsid w:val="00034AE9"/>
    <w:rsid w:val="000B1419"/>
    <w:rsid w:val="000B53C1"/>
    <w:rsid w:val="000D3048"/>
    <w:rsid w:val="000E2AA8"/>
    <w:rsid w:val="000F44F2"/>
    <w:rsid w:val="0015164D"/>
    <w:rsid w:val="00191834"/>
    <w:rsid w:val="001B43AD"/>
    <w:rsid w:val="001D0790"/>
    <w:rsid w:val="001D52CA"/>
    <w:rsid w:val="00214233"/>
    <w:rsid w:val="00231E6B"/>
    <w:rsid w:val="00233F9C"/>
    <w:rsid w:val="00237D8A"/>
    <w:rsid w:val="00243980"/>
    <w:rsid w:val="002737B7"/>
    <w:rsid w:val="00275367"/>
    <w:rsid w:val="00297171"/>
    <w:rsid w:val="002D15AE"/>
    <w:rsid w:val="002D30CD"/>
    <w:rsid w:val="002E5C55"/>
    <w:rsid w:val="00351AE0"/>
    <w:rsid w:val="0039302C"/>
    <w:rsid w:val="00393EEA"/>
    <w:rsid w:val="003A1F2B"/>
    <w:rsid w:val="003A7BF2"/>
    <w:rsid w:val="003E5F70"/>
    <w:rsid w:val="0040124F"/>
    <w:rsid w:val="004511E3"/>
    <w:rsid w:val="00474814"/>
    <w:rsid w:val="00485D88"/>
    <w:rsid w:val="004A0C01"/>
    <w:rsid w:val="004C3C40"/>
    <w:rsid w:val="004C6B2E"/>
    <w:rsid w:val="004D7B3F"/>
    <w:rsid w:val="005417AA"/>
    <w:rsid w:val="00561670"/>
    <w:rsid w:val="00574916"/>
    <w:rsid w:val="005D7C0D"/>
    <w:rsid w:val="00625CE7"/>
    <w:rsid w:val="00636D4F"/>
    <w:rsid w:val="00660A46"/>
    <w:rsid w:val="00687291"/>
    <w:rsid w:val="006C57F7"/>
    <w:rsid w:val="006E1A30"/>
    <w:rsid w:val="00715FC5"/>
    <w:rsid w:val="00775B94"/>
    <w:rsid w:val="00784DE6"/>
    <w:rsid w:val="007A1C53"/>
    <w:rsid w:val="007A5413"/>
    <w:rsid w:val="007F1BD5"/>
    <w:rsid w:val="007F421C"/>
    <w:rsid w:val="00812F6E"/>
    <w:rsid w:val="008276F4"/>
    <w:rsid w:val="00842897"/>
    <w:rsid w:val="00891BC9"/>
    <w:rsid w:val="00892710"/>
    <w:rsid w:val="008E6A9D"/>
    <w:rsid w:val="00904C1E"/>
    <w:rsid w:val="009133BD"/>
    <w:rsid w:val="00936A6C"/>
    <w:rsid w:val="00951874"/>
    <w:rsid w:val="00992276"/>
    <w:rsid w:val="009A1B23"/>
    <w:rsid w:val="009B63DD"/>
    <w:rsid w:val="009C176A"/>
    <w:rsid w:val="009C51B8"/>
    <w:rsid w:val="009D2F85"/>
    <w:rsid w:val="009E7DF2"/>
    <w:rsid w:val="009F0789"/>
    <w:rsid w:val="00A01832"/>
    <w:rsid w:val="00A14FE8"/>
    <w:rsid w:val="00A24A5D"/>
    <w:rsid w:val="00A619CE"/>
    <w:rsid w:val="00A662D8"/>
    <w:rsid w:val="00A8226A"/>
    <w:rsid w:val="00A8384D"/>
    <w:rsid w:val="00A84162"/>
    <w:rsid w:val="00A96917"/>
    <w:rsid w:val="00A97CD9"/>
    <w:rsid w:val="00AC7BE6"/>
    <w:rsid w:val="00AD4EC5"/>
    <w:rsid w:val="00AD6660"/>
    <w:rsid w:val="00AF15B3"/>
    <w:rsid w:val="00AF2E83"/>
    <w:rsid w:val="00B15F25"/>
    <w:rsid w:val="00B25EEE"/>
    <w:rsid w:val="00B34851"/>
    <w:rsid w:val="00B67B74"/>
    <w:rsid w:val="00C16232"/>
    <w:rsid w:val="00C22FE9"/>
    <w:rsid w:val="00C57ABC"/>
    <w:rsid w:val="00C74263"/>
    <w:rsid w:val="00C93D40"/>
    <w:rsid w:val="00CB20A8"/>
    <w:rsid w:val="00CC0E32"/>
    <w:rsid w:val="00CE6293"/>
    <w:rsid w:val="00D22CA7"/>
    <w:rsid w:val="00D259C2"/>
    <w:rsid w:val="00D31186"/>
    <w:rsid w:val="00D50663"/>
    <w:rsid w:val="00D62113"/>
    <w:rsid w:val="00D775B4"/>
    <w:rsid w:val="00D80543"/>
    <w:rsid w:val="00D908B1"/>
    <w:rsid w:val="00DA5868"/>
    <w:rsid w:val="00DD0008"/>
    <w:rsid w:val="00DD5AED"/>
    <w:rsid w:val="00DE1712"/>
    <w:rsid w:val="00DE4EB5"/>
    <w:rsid w:val="00E15F87"/>
    <w:rsid w:val="00E3704F"/>
    <w:rsid w:val="00E643DF"/>
    <w:rsid w:val="00EB5CB0"/>
    <w:rsid w:val="00ED5BE6"/>
    <w:rsid w:val="00EF0E94"/>
    <w:rsid w:val="00F13F14"/>
    <w:rsid w:val="00F840AD"/>
    <w:rsid w:val="00F84FA1"/>
    <w:rsid w:val="00F878EC"/>
    <w:rsid w:val="00FB5B45"/>
    <w:rsid w:val="00FB7EB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378F90"/>
  <w15:docId w15:val="{EC3C81FA-ACD6-46EF-8E4A-DA1A2EE9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">
    <w:name w:val="Заголовок 3 Знак"/>
    <w:basedOn w:val="DefaultParagraphFont"/>
    <w:link w:val="Heading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">
    <w:name w:val="Заголовок 4 Знак"/>
    <w:basedOn w:val="DefaultParagraphFont"/>
    <w:link w:val="Heading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">
    <w:name w:val="Заголовок 5 Знак"/>
    <w:basedOn w:val="DefaultParagraphFont"/>
    <w:link w:val="Heading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">
    <w:name w:val="Заголовок 6 Знак"/>
    <w:basedOn w:val="DefaultParagraphFont"/>
    <w:link w:val="Heading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">
    <w:name w:val="Заголовок 7 Знак"/>
    <w:basedOn w:val="DefaultParagraphFont"/>
    <w:link w:val="Heading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">
    <w:name w:val="Заголовок 8 Знак"/>
    <w:basedOn w:val="DefaultParagraphFont"/>
    <w:link w:val="Heading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">
    <w:name w:val="Заголовок 9 Знак"/>
    <w:basedOn w:val="DefaultParagraphFont"/>
    <w:link w:val="Heading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Title">
    <w:name w:val="Title"/>
    <w:basedOn w:val="Normal"/>
    <w:next w:val="Normal"/>
    <w:link w:val="a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">
    <w:name w:val="Заголовок Знак"/>
    <w:basedOn w:val="DefaultParagraphFont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a0"/>
    <w:uiPriority w:val="11"/>
    <w:qFormat/>
    <w:pPr>
      <w:spacing w:before="200" w:after="200"/>
    </w:pPr>
    <w:rPr>
      <w:sz w:val="24"/>
      <w:szCs w:val="24"/>
    </w:rPr>
  </w:style>
  <w:style w:type="character" w:customStyle="1" w:styleId="a0">
    <w:name w:val="Подзаголовок Знак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20"/>
    <w:uiPriority w:val="29"/>
    <w:qFormat/>
    <w:pPr>
      <w:ind w:left="720" w:right="720"/>
    </w:pPr>
    <w:rPr>
      <w:i/>
    </w:rPr>
  </w:style>
  <w:style w:type="character" w:customStyle="1" w:styleId="20">
    <w:name w:val="Цитата 2 Знак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a1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1">
    <w:name w:val="Выделенная цитата Знак"/>
    <w:link w:val="IntenseQuote"/>
    <w:uiPriority w:val="30"/>
    <w:rPr>
      <w:i/>
    </w:rPr>
  </w:style>
  <w:style w:type="paragraph" w:styleId="Header">
    <w:name w:val="header"/>
    <w:basedOn w:val="Normal"/>
    <w:link w:val="a2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</w:style>
  <w:style w:type="paragraph" w:styleId="Footer">
    <w:name w:val="footer"/>
    <w:basedOn w:val="Normal"/>
    <w:link w:val="a3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3">
    <w:name w:val="Нижний колонтитул Знак"/>
    <w:basedOn w:val="DefaultParagraphFont"/>
    <w:link w:val="Footer"/>
    <w:uiPriority w:val="99"/>
  </w:style>
  <w:style w:type="paragraph" w:styleId="Caption">
    <w:name w:val="caption"/>
    <w:basedOn w:val="Normal"/>
    <w:next w:val="Normal"/>
    <w:link w:val="a4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4">
    <w:name w:val="Название объекта Знак"/>
    <w:basedOn w:val="DefaultParagraphFont"/>
    <w:link w:val="Caption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fill="F2F2F2" w:themeColor="text1" w:themeTint="0D" w:themeFill="text1" w:themeFillTint="0D"/>
      </w:tcPr>
    </w:tblStylePr>
    <w:tblStylePr w:type="band1Horz">
      <w:tblPr/>
      <w:tcPr>
        <w:shd w:val="clear" w:color="F2F2F2" w:fill="F2F2F2" w:themeColor="text1" w:themeTint="0D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fill="F2F2F2" w:themeColor="text1" w:themeTint="0D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fill="F2F2F2" w:themeColor="text1" w:themeTint="0D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fill="F2F2F2" w:themeColor="text1" w:themeTint="0D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fill="F2F2F2" w:themeColor="text1" w:themeTint="0D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fill="F2F2F2" w:themeColor="text1" w:themeTint="0D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fill="F2F2F2" w:themeColor="text1" w:themeTint="0D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fill="CBCBCB" w:themeColor="text1" w:themeTint="34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fill="CBCBCB" w:themeColor="text1" w:themeTint="34" w:themeFill="text1" w:themeFillTint="34"/>
      </w:tcPr>
    </w:tblStylePr>
  </w:style>
  <w:style w:type="table" w:customStyle="1" w:styleId="GridTable2-Accent1">
    <w:name w:val="Grid Table 2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fill="DDEAF6" w:themeColor="accent1" w:themeTint="34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fill="DDEAF6" w:themeColor="accent1" w:themeTint="34" w:themeFill="accent1" w:themeFillTint="34"/>
      </w:tcPr>
    </w:tblStylePr>
  </w:style>
  <w:style w:type="table" w:customStyle="1" w:styleId="GridTable2-Accent2">
    <w:name w:val="Grid Table 2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fill="FBE5D6" w:themeColor="accent2" w:themeTint="32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fill="FBE5D6" w:themeColor="accent2" w:themeTint="32" w:themeFill="accent2" w:themeFillTint="32"/>
      </w:tcPr>
    </w:tblStylePr>
  </w:style>
  <w:style w:type="table" w:customStyle="1" w:styleId="GridTable2-Accent3">
    <w:name w:val="Grid Table 2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fill="ECECEC" w:themeColor="accent3" w:themeTint="34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fill="ECECEC" w:themeColor="accent3" w:themeTint="34" w:themeFill="accent3" w:themeFillTint="34"/>
      </w:tcPr>
    </w:tblStylePr>
  </w:style>
  <w:style w:type="table" w:customStyle="1" w:styleId="GridTable2-Accent4">
    <w:name w:val="Grid Table 2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fill="FFF2CB" w:themeColor="accent4" w:themeTint="34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fill="FFF2CB" w:themeColor="accent4" w:themeTint="34" w:themeFill="accent4" w:themeFillTint="34"/>
      </w:tcPr>
    </w:tblStylePr>
  </w:style>
  <w:style w:type="table" w:customStyle="1" w:styleId="GridTable2-Accent5">
    <w:name w:val="Grid Table 2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fill="D8E2F3" w:themeColor="accent5" w:themeTint="34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fill="D8E2F3" w:themeColor="accent5" w:themeTint="34" w:themeFill="accent5" w:themeFillTint="34"/>
      </w:tcPr>
    </w:tblStylePr>
  </w:style>
  <w:style w:type="table" w:customStyle="1" w:styleId="GridTable2-Accent6">
    <w:name w:val="Grid Table 2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fill="E1EFD8" w:themeColor="accent6" w:themeTint="34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fill="E1EFD8" w:themeColor="accent6" w:themeTint="34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fill="CBCBCB" w:themeColor="text1" w:themeTint="34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fill="CBCBCB" w:themeColor="text1" w:themeTint="34" w:themeFill="text1" w:themeFillTint="34"/>
      </w:tcPr>
    </w:tblStylePr>
  </w:style>
  <w:style w:type="table" w:customStyle="1" w:styleId="GridTable3-Accent1">
    <w:name w:val="Grid Table 3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fill="DDEAF6" w:themeColor="accent1" w:themeTint="34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fill="DDEAF6" w:themeColor="accent1" w:themeTint="34" w:themeFill="accent1" w:themeFillTint="34"/>
      </w:tcPr>
    </w:tblStylePr>
  </w:style>
  <w:style w:type="table" w:customStyle="1" w:styleId="GridTable3-Accent2">
    <w:name w:val="Grid Table 3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fill="FBE5D6" w:themeColor="accent2" w:themeTint="32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fill="FBE5D6" w:themeColor="accent2" w:themeTint="32" w:themeFill="accent2" w:themeFillTint="32"/>
      </w:tcPr>
    </w:tblStylePr>
  </w:style>
  <w:style w:type="table" w:customStyle="1" w:styleId="GridTable3-Accent3">
    <w:name w:val="Grid Table 3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fill="ECECEC" w:themeColor="accent3" w:themeTint="34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fill="ECECEC" w:themeColor="accent3" w:themeTint="34" w:themeFill="accent3" w:themeFillTint="34"/>
      </w:tcPr>
    </w:tblStylePr>
  </w:style>
  <w:style w:type="table" w:customStyle="1" w:styleId="GridTable3-Accent4">
    <w:name w:val="Grid Table 3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fill="FFF2CB" w:themeColor="accent4" w:themeTint="34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fill="FFF2CB" w:themeColor="accent4" w:themeTint="34" w:themeFill="accent4" w:themeFillTint="34"/>
      </w:tcPr>
    </w:tblStylePr>
  </w:style>
  <w:style w:type="table" w:customStyle="1" w:styleId="GridTable3-Accent5">
    <w:name w:val="Grid Table 3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fill="D8E2F3" w:themeColor="accent5" w:themeTint="34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fill="D8E2F3" w:themeColor="accent5" w:themeTint="34" w:themeFill="accent5" w:themeFillTint="34"/>
      </w:tcPr>
    </w:tblStylePr>
  </w:style>
  <w:style w:type="table" w:customStyle="1" w:styleId="GridTable3-Accent6">
    <w:name w:val="Grid Table 3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fill="E1EFD8" w:themeColor="accent6" w:themeTint="34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fill="E1EFD8" w:themeColor="accent6" w:themeTint="34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Color="text1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fill="CBCBCB" w:themeColor="text1" w:themeTint="34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fill="CBCBCB" w:themeColor="text1" w:themeTint="34" w:themeFill="text1" w:themeFillTint="34"/>
      </w:tcPr>
    </w:tblStylePr>
  </w:style>
  <w:style w:type="table" w:customStyle="1" w:styleId="GridTable4-Accent1">
    <w:name w:val="Grid Table 4 -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fill="68A2D8" w:themeColor="accent1" w:themeTint="EA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fill="DEEBF6" w:themeColor="accent1" w:themeTint="3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fill="DEEBF6" w:themeColor="accent1" w:themeTint="32" w:themeFill="accent1" w:themeFillTint="32"/>
      </w:tcPr>
    </w:tblStylePr>
  </w:style>
  <w:style w:type="table" w:customStyle="1" w:styleId="GridTable4-Accent2">
    <w:name w:val="Grid Table 4 -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fill="F4B184" w:themeColor="accent2" w:themeTint="97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fill="FBE5D6" w:themeColor="accent2" w:themeTint="32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fill="FBE5D6" w:themeColor="accent2" w:themeTint="32" w:themeFill="accent2" w:themeFillTint="32"/>
      </w:tcPr>
    </w:tblStylePr>
  </w:style>
  <w:style w:type="table" w:customStyle="1" w:styleId="GridTable4-Accent3">
    <w:name w:val="Grid Table 4 -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fill="A5A5A5" w:themeColor="accent3" w:themeTint="FE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fill="ECECEC" w:themeColor="accent3" w:themeTint="34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fill="ECECEC" w:themeColor="accent3" w:themeTint="34" w:themeFill="accent3" w:themeFillTint="34"/>
      </w:tcPr>
    </w:tblStylePr>
  </w:style>
  <w:style w:type="table" w:customStyle="1" w:styleId="GridTable4-Accent4">
    <w:name w:val="Grid Table 4 -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fill="FFD865" w:themeColor="accent4" w:themeTint="9A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fill="FFF2CB" w:themeColor="accent4" w:themeTint="34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fill="FFF2CB" w:themeColor="accent4" w:themeTint="34" w:themeFill="accent4" w:themeFillTint="34"/>
      </w:tcPr>
    </w:tblStylePr>
  </w:style>
  <w:style w:type="table" w:customStyle="1" w:styleId="GridTable4-Accent5">
    <w:name w:val="Grid Table 4 -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fill="4472C4" w:themeColor="accent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fill="D8E2F3" w:themeColor="accent5" w:themeTint="34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fill="D8E2F3" w:themeColor="accent5" w:themeTint="34" w:themeFill="accent5" w:themeFillTint="34"/>
      </w:tcPr>
    </w:tblStylePr>
  </w:style>
  <w:style w:type="table" w:customStyle="1" w:styleId="GridTable4-Accent6">
    <w:name w:val="Grid Table 4 -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Color="accent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fill="E1EFD8" w:themeColor="accent6" w:themeTint="34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fill="E1EFD8" w:themeColor="accent6" w:themeTint="34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Color="text1" w:themeTint="40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fill="000000" w:themeColor="text1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Color="text1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fill="000000" w:themeColor="text1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fill="000000" w:themeColor="text1" w:themeFill="text1"/>
      </w:tcPr>
    </w:tblStylePr>
    <w:tblStylePr w:type="band1Vert">
      <w:tblPr/>
      <w:tcPr>
        <w:shd w:val="clear" w:color="8A8A8A" w:fill="8A8A8A" w:themeColor="text1" w:themeTint="75" w:themeFill="text1" w:themeFillTint="75"/>
      </w:tcPr>
    </w:tblStylePr>
    <w:tblStylePr w:type="band1Horz">
      <w:tblPr/>
      <w:tcPr>
        <w:shd w:val="clear" w:color="8A8A8A" w:fill="8A8A8A" w:themeColor="text1" w:themeTint="75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fill="DDEAF6" w:themeColor="accent1" w:themeTint="34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fill="5B9BD5" w:themeColor="accent1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Color="accent1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fill="5B9BD5" w:themeColor="accent1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fill="5B9BD5" w:themeColor="accent1" w:themeFill="accent1"/>
      </w:tcPr>
    </w:tblStylePr>
    <w:tblStylePr w:type="band1Vert">
      <w:tblPr/>
      <w:tcPr>
        <w:shd w:val="clear" w:color="B3D0EB" w:fill="B3D0EB" w:themeColor="accent1" w:themeTint="75" w:themeFill="accent1" w:themeFillTint="75"/>
      </w:tcPr>
    </w:tblStylePr>
    <w:tblStylePr w:type="band1Horz">
      <w:tblPr/>
      <w:tcPr>
        <w:shd w:val="clear" w:color="B3D0EB" w:fill="B3D0EB" w:themeColor="accent1" w:themeTint="75" w:themeFill="accent1" w:themeFillTint="75"/>
      </w:tcPr>
    </w:tblStylePr>
  </w:style>
  <w:style w:type="table" w:customStyle="1" w:styleId="GridTable5Dark-Accent2">
    <w:name w:val="Grid Table 5 Dark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fill="FBE5D6" w:themeColor="accent2" w:themeTint="32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fill="ED7D31" w:themeColor="accent2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Color="accent2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fill="ED7D31" w:themeColor="accent2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fill="ED7D31" w:themeColor="accent2" w:themeFill="accent2"/>
      </w:tcPr>
    </w:tblStylePr>
    <w:tblStylePr w:type="band1Vert">
      <w:tblPr/>
      <w:tcPr>
        <w:shd w:val="clear" w:color="F6C3A0" w:fill="F6C3A0" w:themeColor="accent2" w:themeTint="75" w:themeFill="accent2" w:themeFillTint="75"/>
      </w:tcPr>
    </w:tblStylePr>
    <w:tblStylePr w:type="band1Horz">
      <w:tblPr/>
      <w:tcPr>
        <w:shd w:val="clear" w:color="F6C3A0" w:fill="F6C3A0" w:themeColor="accent2" w:themeTint="75" w:themeFill="accent2" w:themeFillTint="75"/>
      </w:tcPr>
    </w:tblStylePr>
  </w:style>
  <w:style w:type="table" w:customStyle="1" w:styleId="GridTable5Dark-Accent3">
    <w:name w:val="Grid Table 5 Dark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fill="ECECEC" w:themeColor="accent3" w:themeTint="34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fill="A5A5A5" w:themeColor="accent3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Color="accent3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fill="A5A5A5" w:themeColor="accent3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fill="A5A5A5" w:themeColor="accent3" w:themeFill="accent3"/>
      </w:tcPr>
    </w:tblStylePr>
    <w:tblStylePr w:type="band1Vert">
      <w:tblPr/>
      <w:tcPr>
        <w:shd w:val="clear" w:color="D5D5D5" w:fill="D5D5D5" w:themeColor="accent3" w:themeTint="75" w:themeFill="accent3" w:themeFillTint="75"/>
      </w:tcPr>
    </w:tblStylePr>
    <w:tblStylePr w:type="band1Horz">
      <w:tblPr/>
      <w:tcPr>
        <w:shd w:val="clear" w:color="D5D5D5" w:fill="D5D5D5" w:themeColor="accent3" w:themeTint="7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fill="FFF2CB" w:themeColor="accent4" w:themeTint="34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fill="FFC000" w:themeColor="accent4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Color="accent4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fill="FFC000" w:themeColor="accent4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fill="FFC000" w:themeColor="accent4" w:themeFill="accent4"/>
      </w:tcPr>
    </w:tblStylePr>
    <w:tblStylePr w:type="band1Vert">
      <w:tblPr/>
      <w:tcPr>
        <w:shd w:val="clear" w:color="FFE28A" w:fill="FFE28A" w:themeColor="accent4" w:themeTint="75" w:themeFill="accent4" w:themeFillTint="75"/>
      </w:tcPr>
    </w:tblStylePr>
    <w:tblStylePr w:type="band1Horz">
      <w:tblPr/>
      <w:tcPr>
        <w:shd w:val="clear" w:color="FFE28A" w:fill="FFE28A" w:themeColor="accent4" w:themeTint="75" w:themeFill="accent4" w:themeFillTint="75"/>
      </w:tcPr>
    </w:tblStylePr>
  </w:style>
  <w:style w:type="table" w:customStyle="1" w:styleId="GridTable5Dark-Accent5">
    <w:name w:val="Grid Table 5 Dark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fill="D8E2F3" w:themeColor="accent5" w:themeTint="34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fill="4472C4" w:themeColor="accent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Color="accent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fill="4472C4" w:themeColor="accent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fill="4472C4" w:themeColor="accent5" w:themeFill="accent5"/>
      </w:tcPr>
    </w:tblStylePr>
    <w:tblStylePr w:type="band1Vert">
      <w:tblPr/>
      <w:tcPr>
        <w:shd w:val="clear" w:color="A9BEE4" w:fill="A9BEE4" w:themeColor="accent5" w:themeTint="75" w:themeFill="accent5" w:themeFillTint="75"/>
      </w:tcPr>
    </w:tblStylePr>
    <w:tblStylePr w:type="band1Horz">
      <w:tblPr/>
      <w:tcPr>
        <w:shd w:val="clear" w:color="A9BEE4" w:fill="A9BEE4" w:themeColor="accent5" w:themeTint="75" w:themeFill="accent5" w:themeFillTint="75"/>
      </w:tcPr>
    </w:tblStylePr>
  </w:style>
  <w:style w:type="table" w:customStyle="1" w:styleId="GridTable5Dark-Accent6">
    <w:name w:val="Grid Table 5 Dark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fill="E1EFD8" w:themeColor="accent6" w:themeTint="34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fill="70AD47" w:themeColor="accent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Color="accent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fill="70AD47" w:themeColor="accent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fill="70AD47" w:themeColor="accent6" w:themeFill="accent6"/>
      </w:tcPr>
    </w:tblStylePr>
    <w:tblStylePr w:type="band1Vert">
      <w:tblPr/>
      <w:tcPr>
        <w:shd w:val="clear" w:color="BCDBA8" w:fill="BCDBA8" w:themeColor="accent6" w:themeTint="75" w:themeFill="accent6" w:themeFillTint="75"/>
      </w:tcPr>
    </w:tblStylePr>
    <w:tblStylePr w:type="band1Horz">
      <w:tblPr/>
      <w:tcPr>
        <w:shd w:val="clear" w:color="BCDBA8" w:fill="BCDBA8" w:themeColor="accent6" w:themeTint="75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Shade="95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Shade="95" w:themeTint="80"/>
      </w:rPr>
    </w:tblStylePr>
    <w:tblStylePr w:type="firstCol">
      <w:rPr>
        <w:b/>
        <w:color w:val="7F7F7F" w:themeColor="text1" w:themeShade="95" w:themeTint="80"/>
      </w:rPr>
    </w:tblStylePr>
    <w:tblStylePr w:type="lastCol">
      <w:rPr>
        <w:b/>
        <w:color w:val="7F7F7F" w:themeColor="text1" w:themeShade="95" w:themeTint="80"/>
      </w:rPr>
    </w:tblStylePr>
    <w:tblStylePr w:type="band1Vert">
      <w:tblPr/>
      <w:tcPr>
        <w:shd w:val="clear" w:color="CBCBCB" w:fill="CBCBCB" w:themeColor="text1" w:themeTint="34" w:themeFill="text1" w:themeFillTint="34"/>
      </w:tcPr>
    </w:tblStylePr>
    <w:tblStylePr w:type="band1Horz">
      <w:rPr>
        <w:rFonts w:ascii="Liberation Sans" w:hAnsi="Liberation Sans"/>
        <w:color w:val="7F7F7F" w:themeColor="text1" w:themeShade="95" w:themeTint="80"/>
        <w:sz w:val="22"/>
      </w:rPr>
      <w:tblPr/>
      <w:tcPr>
        <w:shd w:val="clear" w:color="CBCBCB" w:fill="CBCBCB" w:themeColor="text1" w:themeTint="34" w:themeFill="text1" w:themeFillTint="34"/>
      </w:tcPr>
    </w:tblStylePr>
    <w:tblStylePr w:type="band2Horz">
      <w:rPr>
        <w:rFonts w:ascii="Liberation Sans" w:hAnsi="Liberation Sans"/>
        <w:color w:val="7F7F7F" w:themeColor="text1" w:themeShade="95" w:themeTint="80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Shade="95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Shade="95" w:themeTint="80"/>
      </w:rPr>
    </w:tblStylePr>
    <w:tblStylePr w:type="firstCol">
      <w:rPr>
        <w:b/>
        <w:color w:val="ACCCEA" w:themeColor="accent1" w:themeShade="95" w:themeTint="80"/>
      </w:rPr>
    </w:tblStylePr>
    <w:tblStylePr w:type="lastCol">
      <w:rPr>
        <w:b/>
        <w:color w:val="ACCCEA" w:themeColor="accent1" w:themeShade="95" w:themeTint="80"/>
      </w:rPr>
    </w:tblStylePr>
    <w:tblStylePr w:type="band1Vert">
      <w:tblPr/>
      <w:tcPr>
        <w:shd w:val="clear" w:color="DDEAF6" w:fill="DDEAF6" w:themeColor="accent1" w:themeTint="34" w:themeFill="accent1" w:themeFillTint="34"/>
      </w:tcPr>
    </w:tblStylePr>
    <w:tblStylePr w:type="band1Horz">
      <w:rPr>
        <w:rFonts w:ascii="Liberation Sans" w:hAnsi="Liberation Sans"/>
        <w:color w:val="ACCCEA" w:themeColor="accent1" w:themeShade="95" w:themeTint="80"/>
        <w:sz w:val="22"/>
      </w:rPr>
      <w:tblPr/>
      <w:tcPr>
        <w:shd w:val="clear" w:color="DDEAF6" w:fill="DDEAF6" w:themeColor="accent1" w:themeTint="34" w:themeFill="accent1" w:themeFillTint="34"/>
      </w:tcPr>
    </w:tblStylePr>
    <w:tblStylePr w:type="band2Horz">
      <w:rPr>
        <w:rFonts w:ascii="Liberation Sans" w:hAnsi="Liberation Sans"/>
        <w:color w:val="ACCCEA" w:themeColor="accent1" w:themeShade="95" w:themeTint="80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Shade="95" w:themeTint="97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Shade="95" w:themeTint="97"/>
      </w:rPr>
    </w:tblStylePr>
    <w:tblStylePr w:type="firstCol">
      <w:rPr>
        <w:b/>
        <w:color w:val="F4B184" w:themeColor="accent2" w:themeShade="95" w:themeTint="97"/>
      </w:rPr>
    </w:tblStylePr>
    <w:tblStylePr w:type="lastCol">
      <w:rPr>
        <w:b/>
        <w:color w:val="F4B184" w:themeColor="accent2" w:themeShade="95" w:themeTint="97"/>
      </w:rPr>
    </w:tblStylePr>
    <w:tblStylePr w:type="band1Vert">
      <w:tblPr/>
      <w:tcPr>
        <w:shd w:val="clear" w:color="FBE5D6" w:fill="FBE5D6" w:themeColor="accent2" w:themeTint="32" w:themeFill="accent2" w:themeFillTint="32"/>
      </w:tcPr>
    </w:tblStylePr>
    <w:tblStylePr w:type="band1Horz">
      <w:rPr>
        <w:rFonts w:ascii="Liberation Sans" w:hAnsi="Liberation Sans"/>
        <w:color w:val="F4B184" w:themeColor="accent2" w:themeShade="95" w:themeTint="97"/>
        <w:sz w:val="22"/>
      </w:rPr>
      <w:tblPr/>
      <w:tcPr>
        <w:shd w:val="clear" w:color="FBE5D6" w:fill="FBE5D6" w:themeColor="accent2" w:themeTint="32" w:themeFill="accent2" w:themeFillTint="32"/>
      </w:tcPr>
    </w:tblStylePr>
    <w:tblStylePr w:type="band2Horz">
      <w:rPr>
        <w:rFonts w:ascii="Liberation Sans" w:hAnsi="Liberation Sans"/>
        <w:color w:val="F4B184" w:themeColor="accent2" w:themeShade="95" w:themeTint="97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Shade="95" w:themeTint="FE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Shade="95" w:themeTint="FE"/>
      </w:rPr>
    </w:tblStylePr>
    <w:tblStylePr w:type="firstCol">
      <w:rPr>
        <w:b/>
        <w:color w:val="A5A5A5" w:themeColor="accent3" w:themeShade="95" w:themeTint="FE"/>
      </w:rPr>
    </w:tblStylePr>
    <w:tblStylePr w:type="lastCol">
      <w:rPr>
        <w:b/>
        <w:color w:val="A5A5A5" w:themeColor="accent3" w:themeShade="95" w:themeTint="FE"/>
      </w:rPr>
    </w:tblStylePr>
    <w:tblStylePr w:type="band1Vert">
      <w:tblPr/>
      <w:tcPr>
        <w:shd w:val="clear" w:color="ECECEC" w:fill="ECECEC" w:themeColor="accent3" w:themeTint="34" w:themeFill="accent3" w:themeFillTint="34"/>
      </w:tcPr>
    </w:tblStylePr>
    <w:tblStylePr w:type="band1Horz">
      <w:rPr>
        <w:rFonts w:ascii="Liberation Sans" w:hAnsi="Liberation Sans"/>
        <w:color w:val="A5A5A5" w:themeColor="accent3" w:themeShade="95" w:themeTint="FE"/>
        <w:sz w:val="22"/>
      </w:rPr>
      <w:tblPr/>
      <w:tcPr>
        <w:shd w:val="clear" w:color="ECECEC" w:fill="ECECEC" w:themeColor="accent3" w:themeTint="34" w:themeFill="accent3" w:themeFillTint="34"/>
      </w:tcPr>
    </w:tblStylePr>
    <w:tblStylePr w:type="band2Horz">
      <w:rPr>
        <w:rFonts w:ascii="Liberation Sans" w:hAnsi="Liberation Sans"/>
        <w:color w:val="A5A5A5" w:themeColor="accent3" w:themeShade="95" w:themeTint="FE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Shade="95" w:themeTint="9A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Shade="95" w:themeTint="9A"/>
      </w:rPr>
    </w:tblStylePr>
    <w:tblStylePr w:type="firstCol">
      <w:rPr>
        <w:b/>
        <w:color w:val="FFD865" w:themeColor="accent4" w:themeShade="95" w:themeTint="9A"/>
      </w:rPr>
    </w:tblStylePr>
    <w:tblStylePr w:type="lastCol">
      <w:rPr>
        <w:b/>
        <w:color w:val="FFD865" w:themeColor="accent4" w:themeShade="95" w:themeTint="9A"/>
      </w:rPr>
    </w:tblStylePr>
    <w:tblStylePr w:type="band1Vert">
      <w:tblPr/>
      <w:tcPr>
        <w:shd w:val="clear" w:color="FFF2CB" w:fill="FFF2CB" w:themeColor="accent4" w:themeTint="34" w:themeFill="accent4" w:themeFillTint="34"/>
      </w:tcPr>
    </w:tblStylePr>
    <w:tblStylePr w:type="band1Horz">
      <w:rPr>
        <w:rFonts w:ascii="Liberation Sans" w:hAnsi="Liberation Sans"/>
        <w:color w:val="FFD865" w:themeColor="accent4" w:themeShade="95" w:themeTint="9A"/>
        <w:sz w:val="22"/>
      </w:rPr>
      <w:tblPr/>
      <w:tcPr>
        <w:shd w:val="clear" w:color="FFF2CB" w:fill="FFF2CB" w:themeColor="accent4" w:themeTint="34" w:themeFill="accent4" w:themeFillTint="34"/>
      </w:tcPr>
    </w:tblStylePr>
    <w:tblStylePr w:type="band2Horz">
      <w:rPr>
        <w:rFonts w:ascii="Liberation Sans" w:hAnsi="Liberation Sans"/>
        <w:color w:val="FFD865" w:themeColor="accent4" w:themeShade="95" w:themeTint="9A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fill="D8E2F3" w:themeColor="accent5" w:themeTint="34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fill="D8E2F3" w:themeColor="accent5" w:themeTint="34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fill="E1EFD8" w:themeColor="accent6" w:themeTint="34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fill="E1EFD8" w:themeColor="accent6" w:themeTint="34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Shade="95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Color="light1" w:themeFill="light1"/>
      </w:tcPr>
    </w:tblStylePr>
    <w:tblStylePr w:type="lastRow">
      <w:rPr>
        <w:rFonts w:ascii="Liberation Sans" w:hAnsi="Liberation Sans"/>
        <w:b/>
        <w:color w:val="7F7F7F" w:themeColor="text1" w:themeShade="95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Color="light1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Shade="95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Shade="95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fill="F2F2F2" w:themeColor="text1" w:themeTint="0D" w:themeFill="text1" w:themeFillTint="0D"/>
      </w:tcPr>
    </w:tblStylePr>
    <w:tblStylePr w:type="band1Horz">
      <w:rPr>
        <w:rFonts w:ascii="Liberation Sans" w:hAnsi="Liberation Sans"/>
        <w:color w:val="7F7F7F" w:themeColor="text1" w:themeShade="95" w:themeTint="80"/>
        <w:sz w:val="22"/>
      </w:rPr>
      <w:tblPr/>
      <w:tcPr>
        <w:shd w:val="clear" w:color="F2F2F2" w:fill="F2F2F2" w:themeColor="text1" w:themeTint="0D" w:themeFill="text1" w:themeFillTint="0D"/>
      </w:tcPr>
    </w:tblStylePr>
    <w:tblStylePr w:type="band2Horz">
      <w:rPr>
        <w:rFonts w:ascii="Liberation Sans" w:hAnsi="Liberation Sans"/>
        <w:color w:val="7F7F7F" w:themeColor="text1" w:themeShade="95" w:themeTint="80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Shade="95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fill="FFFFFF" w:themeColor="light1" w:themeFill="light1"/>
      </w:tcPr>
    </w:tblStylePr>
    <w:tblStylePr w:type="lastRow">
      <w:rPr>
        <w:rFonts w:ascii="Liberation Sans" w:hAnsi="Liberation Sans"/>
        <w:b/>
        <w:color w:val="ACCCEA" w:themeColor="accent1" w:themeShade="95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fill="FFFFFF" w:themeColor="light1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Shade="95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Shade="95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fill="DDEAF6" w:themeColor="accent1" w:themeTint="34" w:themeFill="accent1" w:themeFillTint="34"/>
      </w:tcPr>
    </w:tblStylePr>
    <w:tblStylePr w:type="band1Horz">
      <w:rPr>
        <w:rFonts w:ascii="Liberation Sans" w:hAnsi="Liberation Sans"/>
        <w:color w:val="ACCCEA" w:themeColor="accent1" w:themeShade="95" w:themeTint="80"/>
        <w:sz w:val="22"/>
      </w:rPr>
      <w:tblPr/>
      <w:tcPr>
        <w:shd w:val="clear" w:color="DDEAF6" w:fill="DDEAF6" w:themeColor="accent1" w:themeTint="34" w:themeFill="accent1" w:themeFillTint="34"/>
      </w:tcPr>
    </w:tblStylePr>
    <w:tblStylePr w:type="band2Horz">
      <w:rPr>
        <w:rFonts w:ascii="Liberation Sans" w:hAnsi="Liberation Sans"/>
        <w:color w:val="ACCCEA" w:themeColor="accent1" w:themeShade="95" w:themeTint="80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Shade="95" w:themeTint="97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fill="FFFFFF" w:themeColor="light1" w:themeFill="light1"/>
      </w:tcPr>
    </w:tblStylePr>
    <w:tblStylePr w:type="lastRow">
      <w:rPr>
        <w:rFonts w:ascii="Liberation Sans" w:hAnsi="Liberation Sans"/>
        <w:b/>
        <w:color w:val="F4B184" w:themeColor="accent2" w:themeShade="95" w:themeTint="97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FFFFFF" w:themeColor="light1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Shade="95" w:themeTint="97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Shade="95" w:themeTint="97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fill="FBE5D6" w:themeColor="accent2" w:themeTint="32" w:themeFill="accent2" w:themeFillTint="32"/>
      </w:tcPr>
    </w:tblStylePr>
    <w:tblStylePr w:type="band1Horz">
      <w:rPr>
        <w:rFonts w:ascii="Liberation Sans" w:hAnsi="Liberation Sans"/>
        <w:color w:val="F4B184" w:themeColor="accent2" w:themeShade="95" w:themeTint="97"/>
        <w:sz w:val="22"/>
      </w:rPr>
      <w:tblPr/>
      <w:tcPr>
        <w:shd w:val="clear" w:color="FBE5D6" w:fill="FBE5D6" w:themeColor="accent2" w:themeTint="32" w:themeFill="accent2" w:themeFillTint="32"/>
      </w:tcPr>
    </w:tblStylePr>
    <w:tblStylePr w:type="band2Horz">
      <w:rPr>
        <w:rFonts w:ascii="Liberation Sans" w:hAnsi="Liberation Sans"/>
        <w:color w:val="F4B184" w:themeColor="accent2" w:themeShade="95" w:themeTint="97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Shade="95" w:themeTint="FE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fill="FFFFFF" w:themeColor="light1" w:themeFill="light1"/>
      </w:tcPr>
    </w:tblStylePr>
    <w:tblStylePr w:type="lastRow">
      <w:rPr>
        <w:rFonts w:ascii="Liberation Sans" w:hAnsi="Liberation Sans"/>
        <w:b/>
        <w:color w:val="A5A5A5" w:themeColor="accent3" w:themeShade="95" w:themeTint="FE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FFFFFF" w:themeColor="light1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Shade="95" w:themeTint="FE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Shade="95" w:themeTint="FE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fill="ECECEC" w:themeColor="accent3" w:themeTint="34" w:themeFill="accent3" w:themeFillTint="34"/>
      </w:tcPr>
    </w:tblStylePr>
    <w:tblStylePr w:type="band1Horz">
      <w:rPr>
        <w:rFonts w:ascii="Liberation Sans" w:hAnsi="Liberation Sans"/>
        <w:color w:val="A5A5A5" w:themeColor="accent3" w:themeShade="95" w:themeTint="FE"/>
        <w:sz w:val="22"/>
      </w:rPr>
      <w:tblPr/>
      <w:tcPr>
        <w:shd w:val="clear" w:color="ECECEC" w:fill="ECECEC" w:themeColor="accent3" w:themeTint="34" w:themeFill="accent3" w:themeFillTint="34"/>
      </w:tcPr>
    </w:tblStylePr>
    <w:tblStylePr w:type="band2Horz">
      <w:rPr>
        <w:rFonts w:ascii="Liberation Sans" w:hAnsi="Liberation Sans"/>
        <w:color w:val="A5A5A5" w:themeColor="accent3" w:themeShade="95" w:themeTint="FE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Shade="95" w:themeTint="9A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fill="FFFFFF" w:themeColor="light1" w:themeFill="light1"/>
      </w:tcPr>
    </w:tblStylePr>
    <w:tblStylePr w:type="lastRow">
      <w:rPr>
        <w:rFonts w:ascii="Liberation Sans" w:hAnsi="Liberation Sans"/>
        <w:b/>
        <w:color w:val="FFD865" w:themeColor="accent4" w:themeShade="95" w:themeTint="9A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FFFFFF" w:themeColor="light1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Shade="95" w:themeTint="9A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Shade="95" w:themeTint="9A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fill="FFF2CB" w:themeColor="accent4" w:themeTint="34" w:themeFill="accent4" w:themeFillTint="34"/>
      </w:tcPr>
    </w:tblStylePr>
    <w:tblStylePr w:type="band1Horz">
      <w:rPr>
        <w:rFonts w:ascii="Liberation Sans" w:hAnsi="Liberation Sans"/>
        <w:color w:val="FFD865" w:themeColor="accent4" w:themeShade="95" w:themeTint="9A"/>
        <w:sz w:val="22"/>
      </w:rPr>
      <w:tblPr/>
      <w:tcPr>
        <w:shd w:val="clear" w:color="FFF2CB" w:fill="FFF2CB" w:themeColor="accent4" w:themeTint="34" w:themeFill="accent4" w:themeFillTint="34"/>
      </w:tcPr>
    </w:tblStylePr>
    <w:tblStylePr w:type="band2Horz">
      <w:rPr>
        <w:rFonts w:ascii="Liberation Sans" w:hAnsi="Liberation Sans"/>
        <w:color w:val="FFD865" w:themeColor="accent4" w:themeShade="95" w:themeTint="9A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fill="FFFFFF" w:themeColor="light1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fill="FFFFFF" w:themeColor="light1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fill="D8E2F3" w:themeColor="accent5" w:themeTint="34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fill="D8E2F3" w:themeColor="accent5" w:themeTint="34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fill="FFFFFF" w:themeColor="light1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fill="FFFFFF" w:themeColor="light1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fill="E1EFD8" w:themeColor="accent6" w:themeTint="34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fill="E1EFD8" w:themeColor="accent6" w:themeTint="34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Color="text1" w:themeTint="40" w:themeFill="text1" w:themeFillTint="40"/>
      </w:tcPr>
    </w:tblStylePr>
    <w:tblStylePr w:type="band1Horz">
      <w:tblPr/>
      <w:tcPr>
        <w:shd w:val="clear" w:color="BFBFBF" w:fill="BFBFBF" w:themeColor="text1" w:themeTint="40" w:themeFill="text1" w:themeFillTint="40"/>
      </w:tcPr>
    </w:tblStylePr>
  </w:style>
  <w:style w:type="table" w:customStyle="1" w:styleId="ListTable1Light-Accent1">
    <w:name w:val="List Table 1 Light -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Color="accent1" w:themeTint="40" w:themeFill="accent1" w:themeFillTint="40"/>
      </w:tcPr>
    </w:tblStylePr>
    <w:tblStylePr w:type="band1Horz">
      <w:tblPr/>
      <w:tcPr>
        <w:shd w:val="clear" w:color="D5E5F4" w:fill="D5E5F4" w:themeColor="accent1" w:themeTint="40" w:themeFill="accent1" w:themeFillTint="40"/>
      </w:tcPr>
    </w:tblStylePr>
  </w:style>
  <w:style w:type="table" w:customStyle="1" w:styleId="ListTable1Light-Accent2">
    <w:name w:val="List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Color="accent2" w:themeTint="40" w:themeFill="accent2" w:themeFillTint="40"/>
      </w:tcPr>
    </w:tblStylePr>
    <w:tblStylePr w:type="band1Horz">
      <w:tblPr/>
      <w:tcPr>
        <w:shd w:val="clear" w:color="FADECB" w:fill="FADECB" w:themeColor="accent2" w:themeTint="40" w:themeFill="accent2" w:themeFillTint="40"/>
      </w:tcPr>
    </w:tblStylePr>
  </w:style>
  <w:style w:type="table" w:customStyle="1" w:styleId="ListTable1Light-Accent3">
    <w:name w:val="List Table 1 Light -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Color="accent3" w:themeTint="40" w:themeFill="accent3" w:themeFillTint="40"/>
      </w:tcPr>
    </w:tblStylePr>
    <w:tblStylePr w:type="band1Horz">
      <w:tblPr/>
      <w:tcPr>
        <w:shd w:val="clear" w:color="E8E8E8" w:fill="E8E8E8" w:themeColor="accent3" w:themeTint="40" w:themeFill="accent3" w:themeFillTint="40"/>
      </w:tcPr>
    </w:tblStylePr>
  </w:style>
  <w:style w:type="table" w:customStyle="1" w:styleId="ListTable1Light-Accent4">
    <w:name w:val="List Table 1 Light -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Color="accent4" w:themeTint="40" w:themeFill="accent4" w:themeFillTint="40"/>
      </w:tcPr>
    </w:tblStylePr>
    <w:tblStylePr w:type="band1Horz">
      <w:tblPr/>
      <w:tcPr>
        <w:shd w:val="clear" w:color="FFEFBF" w:fill="FFEFBF" w:themeColor="accent4" w:themeTint="40" w:themeFill="accent4" w:themeFillTint="40"/>
      </w:tcPr>
    </w:tblStylePr>
  </w:style>
  <w:style w:type="table" w:customStyle="1" w:styleId="ListTable1Light-Accent5">
    <w:name w:val="List Table 1 Light -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Color="accent5" w:themeTint="40" w:themeFill="accent5" w:themeFillTint="40"/>
      </w:tcPr>
    </w:tblStylePr>
    <w:tblStylePr w:type="band1Horz">
      <w:tblPr/>
      <w:tcPr>
        <w:shd w:val="clear" w:color="CFDBF0" w:fill="CFDBF0" w:themeColor="accent5" w:themeTint="40" w:themeFill="accent5" w:themeFillTint="40"/>
      </w:tcPr>
    </w:tblStylePr>
  </w:style>
  <w:style w:type="table" w:customStyle="1" w:styleId="ListTable1Light-Accent6">
    <w:name w:val="List Table 1 Light -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Color="accent6" w:themeTint="40" w:themeFill="accent6" w:themeFillTint="40"/>
      </w:tcPr>
    </w:tblStylePr>
    <w:tblStylePr w:type="band1Horz">
      <w:tblPr/>
      <w:tcPr>
        <w:shd w:val="clear" w:color="DAEBCF" w:fill="DAEBCF" w:themeColor="accent6" w:themeTint="40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fill="BFBFBF" w:themeColor="text1" w:themeTint="40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fill="BFBFBF" w:themeColor="text1" w:themeTint="40" w:themeFill="text1" w:themeFillTint="40"/>
      </w:tcPr>
    </w:tblStylePr>
  </w:style>
  <w:style w:type="table" w:customStyle="1" w:styleId="ListTable2-Accent1">
    <w:name w:val="List Table 2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fill="D5E5F4" w:themeColor="accent1" w:themeTint="4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fill="D5E5F4" w:themeColor="accent1" w:themeTint="40" w:themeFill="accent1" w:themeFillTint="40"/>
      </w:tcPr>
    </w:tblStylePr>
  </w:style>
  <w:style w:type="table" w:customStyle="1" w:styleId="ListTable2-Accent2">
    <w:name w:val="List Table 2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fill="FADECB" w:themeColor="accent2" w:themeTint="40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fill="FADECB" w:themeColor="accent2" w:themeTint="40" w:themeFill="accent2" w:themeFillTint="40"/>
      </w:tcPr>
    </w:tblStylePr>
  </w:style>
  <w:style w:type="table" w:customStyle="1" w:styleId="ListTable2-Accent3">
    <w:name w:val="List Table 2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fill="E8E8E8" w:themeColor="accent3" w:themeTint="40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fill="E8E8E8" w:themeColor="accent3" w:themeTint="40" w:themeFill="accent3" w:themeFillTint="40"/>
      </w:tcPr>
    </w:tblStylePr>
  </w:style>
  <w:style w:type="table" w:customStyle="1" w:styleId="ListTable2-Accent4">
    <w:name w:val="List Table 2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fill="FFEFBF" w:themeColor="accent4" w:themeTint="40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fill="FFEFBF" w:themeColor="accent4" w:themeTint="40" w:themeFill="accent4" w:themeFillTint="40"/>
      </w:tcPr>
    </w:tblStylePr>
  </w:style>
  <w:style w:type="table" w:customStyle="1" w:styleId="ListTable2-Accent5">
    <w:name w:val="List Table 2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fill="CFDBF0" w:themeColor="accent5" w:themeTint="4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fill="CFDBF0" w:themeColor="accent5" w:themeTint="40" w:themeFill="accent5" w:themeFillTint="40"/>
      </w:tcPr>
    </w:tblStylePr>
  </w:style>
  <w:style w:type="table" w:customStyle="1" w:styleId="ListTable2-Accent6">
    <w:name w:val="List Table 2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fill="DAEBCF" w:themeColor="accent6" w:themeTint="4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fill="DAEBCF" w:themeColor="accent6" w:themeTint="40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fill="000000" w:themeColor="text1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fill="5B9BD5" w:themeColor="accent1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fill="F4B184" w:themeColor="accent2" w:themeTint="97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fill="C9C9C9" w:themeColor="accent3" w:themeTint="98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fill="FFD865" w:themeColor="accent4" w:themeTint="9A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fill="8DA9DB" w:themeColor="accent5" w:themeTint="9A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fill="A9D08E" w:themeColor="accent6" w:themeTint="98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fill="000000" w:themeColor="text1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fill="BFBFBF" w:themeColor="text1" w:themeTint="40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fill="BFBFBF" w:themeColor="text1" w:themeTint="40" w:themeFill="text1" w:themeFillTint="40"/>
      </w:tcPr>
    </w:tblStylePr>
  </w:style>
  <w:style w:type="table" w:customStyle="1" w:styleId="ListTable4-Accent1">
    <w:name w:val="List Table 4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fill="5B9BD5" w:themeColor="accent1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fill="D5E5F4" w:themeColor="accent1" w:themeTint="4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fill="D5E5F4" w:themeColor="accent1" w:themeTint="40" w:themeFill="accent1" w:themeFillTint="40"/>
      </w:tcPr>
    </w:tblStylePr>
  </w:style>
  <w:style w:type="table" w:customStyle="1" w:styleId="ListTable4-Accent2">
    <w:name w:val="List Table 4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fill="ED7D31" w:themeColor="accent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fill="FADECB" w:themeColor="accent2" w:themeTint="40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fill="FADECB" w:themeColor="accent2" w:themeTint="40" w:themeFill="accent2" w:themeFillTint="40"/>
      </w:tcPr>
    </w:tblStylePr>
  </w:style>
  <w:style w:type="table" w:customStyle="1" w:styleId="ListTable4-Accent3">
    <w:name w:val="List Table 4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fill="A5A5A5" w:themeColor="accent3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fill="E8E8E8" w:themeColor="accent3" w:themeTint="40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fill="E8E8E8" w:themeColor="accent3" w:themeTint="40" w:themeFill="accent3" w:themeFillTint="40"/>
      </w:tcPr>
    </w:tblStylePr>
  </w:style>
  <w:style w:type="table" w:customStyle="1" w:styleId="ListTable4-Accent4">
    <w:name w:val="List Table 4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fill="FFC000" w:themeColor="accent4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fill="FFEFBF" w:themeColor="accent4" w:themeTint="40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fill="FFEFBF" w:themeColor="accent4" w:themeTint="40" w:themeFill="accent4" w:themeFillTint="40"/>
      </w:tcPr>
    </w:tblStylePr>
  </w:style>
  <w:style w:type="table" w:customStyle="1" w:styleId="ListTable4-Accent5">
    <w:name w:val="List Table 4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fill="4472C4" w:themeColor="accent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fill="CFDBF0" w:themeColor="accent5" w:themeTint="4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fill="CFDBF0" w:themeColor="accent5" w:themeTint="40" w:themeFill="accent5" w:themeFillTint="40"/>
      </w:tcPr>
    </w:tblStylePr>
  </w:style>
  <w:style w:type="table" w:customStyle="1" w:styleId="ListTable4-Accent6">
    <w:name w:val="List Table 4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fill="70AD47" w:themeColor="accent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fill="DAEBCF" w:themeColor="accent6" w:themeTint="4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fill="DAEBCF" w:themeColor="accent6" w:themeTint="40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Color="text1" w:themeTint="80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Color="text1" w:themeTint="80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Color="text1" w:themeTint="80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Color="text1" w:themeTint="80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Color="text1" w:themeTint="80" w:themeFill="text1" w:themeFillTint="80"/>
      </w:tcPr>
    </w:tblStylePr>
  </w:style>
  <w:style w:type="table" w:customStyle="1" w:styleId="ListTable5Dark-Accent1">
    <w:name w:val="List Table 5 Dark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fill="5B9BD5" w:themeColor="accent1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fill="5B9BD5" w:themeColor="accent1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5B9BD5" w:themeColor="accent1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Color="accent1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Color="accent1" w:themeFill="accent1"/>
      </w:tcPr>
    </w:tblStylePr>
  </w:style>
  <w:style w:type="table" w:customStyle="1" w:styleId="ListTable5Dark-Accent2">
    <w:name w:val="List Table 5 Dark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fill="F4B184" w:themeColor="accent2" w:themeTint="97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fill="F4B184" w:themeColor="accent2" w:themeTint="97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Color="accent2" w:themeTint="97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Color="accent2" w:themeTint="97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Color="accent2" w:themeTint="97" w:themeFill="accent2" w:themeFillTint="97"/>
      </w:tcPr>
    </w:tblStylePr>
  </w:style>
  <w:style w:type="table" w:customStyle="1" w:styleId="ListTable5Dark-Accent3">
    <w:name w:val="List Table 5 Dark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fill="C9C9C9" w:themeColor="accent3" w:themeTint="98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fill="C9C9C9" w:themeColor="accent3" w:themeTint="98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Color="accent3" w:themeTint="98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Color="accent3" w:themeTint="98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Color="accent3" w:themeTint="98" w:themeFill="accent3" w:themeFillTint="98"/>
      </w:tcPr>
    </w:tblStylePr>
  </w:style>
  <w:style w:type="table" w:customStyle="1" w:styleId="ListTable5Dark-Accent4">
    <w:name w:val="List Table 5 Dark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fill="FFD865" w:themeColor="accent4" w:themeTint="9A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fill="FFD865" w:themeColor="accent4" w:themeTint="9A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Color="accent4" w:themeTint="9A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Color="accent4" w:themeTint="9A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Color="accent4" w:themeTint="9A" w:themeFill="accent4" w:themeFillTint="9A"/>
      </w:tcPr>
    </w:tblStylePr>
  </w:style>
  <w:style w:type="table" w:customStyle="1" w:styleId="ListTable5Dark-Accent5">
    <w:name w:val="List Table 5 Dark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fill="8DA9DB" w:themeColor="accent5" w:themeTint="9A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fill="8DA9DB" w:themeColor="accent5" w:themeTint="9A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8DA9DB" w:themeColor="accent5" w:themeTint="9A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Color="accent5" w:themeTint="9A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Color="accent5" w:themeTint="9A" w:themeFill="accent5" w:themeFillTint="9A"/>
      </w:tcPr>
    </w:tblStylePr>
  </w:style>
  <w:style w:type="table" w:customStyle="1" w:styleId="ListTable5Dark-Accent6">
    <w:name w:val="List Table 5 Dark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fill="A9D08E" w:themeColor="accent6" w:themeTint="98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fill="A9D08E" w:themeColor="accent6" w:themeTint="98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Color="accent6" w:themeTint="98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Color="accent6" w:themeTint="98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Color="accent6" w:themeTint="98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Color="text1" w:themeTint="40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fill="BFBFBF" w:themeColor="text1" w:themeTint="40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fill="D5E5F4" w:themeColor="accent1" w:themeTint="40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fill="D5E5F4" w:themeColor="accent1" w:themeTint="40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Shade="95" w:themeTint="97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Shade="95" w:themeTint="97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Shade="95" w:themeTint="97"/>
      </w:rPr>
    </w:tblStylePr>
    <w:tblStylePr w:type="lastCol">
      <w:rPr>
        <w:b/>
        <w:color w:val="F4B184" w:themeColor="accent2" w:themeShade="95" w:themeTint="97"/>
      </w:rPr>
    </w:tblStylePr>
    <w:tblStylePr w:type="band1Vert">
      <w:tblPr/>
      <w:tcPr>
        <w:shd w:val="clear" w:color="FADECB" w:fill="FADECB" w:themeColor="accent2" w:themeTint="40" w:themeFill="accent2" w:themeFillTint="40"/>
      </w:tcPr>
    </w:tblStylePr>
    <w:tblStylePr w:type="band1Horz">
      <w:rPr>
        <w:rFonts w:ascii="Liberation Sans" w:hAnsi="Liberation Sans"/>
        <w:color w:val="F4B184" w:themeColor="accent2" w:themeShade="95" w:themeTint="97"/>
        <w:sz w:val="22"/>
      </w:rPr>
      <w:tblPr/>
      <w:tcPr>
        <w:shd w:val="clear" w:color="FADECB" w:fill="FADECB" w:themeColor="accent2" w:themeTint="40" w:themeFill="accent2" w:themeFillTint="40"/>
      </w:tcPr>
    </w:tblStylePr>
    <w:tblStylePr w:type="band2Horz">
      <w:rPr>
        <w:rFonts w:ascii="Liberation Sans" w:hAnsi="Liberation Sans"/>
        <w:color w:val="F4B184" w:themeColor="accent2" w:themeShade="95" w:themeTint="97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Shade="95" w:themeTint="98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Shade="95" w:themeTint="98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Shade="95" w:themeTint="98"/>
      </w:rPr>
    </w:tblStylePr>
    <w:tblStylePr w:type="lastCol">
      <w:rPr>
        <w:b/>
        <w:color w:val="C9C9C9" w:themeColor="accent3" w:themeShade="95" w:themeTint="98"/>
      </w:rPr>
    </w:tblStylePr>
    <w:tblStylePr w:type="band1Vert">
      <w:tblPr/>
      <w:tcPr>
        <w:shd w:val="clear" w:color="E8E8E8" w:fill="E8E8E8" w:themeColor="accent3" w:themeTint="40" w:themeFill="accent3" w:themeFillTint="40"/>
      </w:tcPr>
    </w:tblStylePr>
    <w:tblStylePr w:type="band1Horz">
      <w:rPr>
        <w:rFonts w:ascii="Liberation Sans" w:hAnsi="Liberation Sans"/>
        <w:color w:val="C9C9C9" w:themeColor="accent3" w:themeShade="95" w:themeTint="98"/>
        <w:sz w:val="22"/>
      </w:rPr>
      <w:tblPr/>
      <w:tcPr>
        <w:shd w:val="clear" w:color="E8E8E8" w:fill="E8E8E8" w:themeColor="accent3" w:themeTint="40" w:themeFill="accent3" w:themeFillTint="40"/>
      </w:tcPr>
    </w:tblStylePr>
    <w:tblStylePr w:type="band2Horz">
      <w:rPr>
        <w:rFonts w:ascii="Liberation Sans" w:hAnsi="Liberation Sans"/>
        <w:color w:val="C9C9C9" w:themeColor="accent3" w:themeShade="95" w:themeTint="98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Shade="95" w:themeTint="9A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Shade="95" w:themeTint="9A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Shade="95" w:themeTint="9A"/>
      </w:rPr>
    </w:tblStylePr>
    <w:tblStylePr w:type="lastCol">
      <w:rPr>
        <w:b/>
        <w:color w:val="FFD865" w:themeColor="accent4" w:themeShade="95" w:themeTint="9A"/>
      </w:rPr>
    </w:tblStylePr>
    <w:tblStylePr w:type="band1Vert">
      <w:tblPr/>
      <w:tcPr>
        <w:shd w:val="clear" w:color="FFEFBF" w:fill="FFEFBF" w:themeColor="accent4" w:themeTint="40" w:themeFill="accent4" w:themeFillTint="40"/>
      </w:tcPr>
    </w:tblStylePr>
    <w:tblStylePr w:type="band1Horz">
      <w:rPr>
        <w:rFonts w:ascii="Liberation Sans" w:hAnsi="Liberation Sans"/>
        <w:color w:val="FFD865" w:themeColor="accent4" w:themeShade="95" w:themeTint="9A"/>
        <w:sz w:val="22"/>
      </w:rPr>
      <w:tblPr/>
      <w:tcPr>
        <w:shd w:val="clear" w:color="FFEFBF" w:fill="FFEFBF" w:themeColor="accent4" w:themeTint="40" w:themeFill="accent4" w:themeFillTint="40"/>
      </w:tcPr>
    </w:tblStylePr>
    <w:tblStylePr w:type="band2Horz">
      <w:rPr>
        <w:rFonts w:ascii="Liberation Sans" w:hAnsi="Liberation Sans"/>
        <w:color w:val="FFD865" w:themeColor="accent4" w:themeShade="95" w:themeTint="9A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Shade="95" w:themeTint="9A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Shade="95" w:themeTint="9A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Shade="95" w:themeTint="9A"/>
      </w:rPr>
    </w:tblStylePr>
    <w:tblStylePr w:type="lastCol">
      <w:rPr>
        <w:b/>
        <w:color w:val="8DA9DB" w:themeColor="accent5" w:themeShade="95" w:themeTint="9A"/>
      </w:rPr>
    </w:tblStylePr>
    <w:tblStylePr w:type="band1Vert">
      <w:tblPr/>
      <w:tcPr>
        <w:shd w:val="clear" w:color="CFDBF0" w:fill="CFDBF0" w:themeColor="accent5" w:themeTint="40" w:themeFill="accent5" w:themeFillTint="40"/>
      </w:tcPr>
    </w:tblStylePr>
    <w:tblStylePr w:type="band1Horz">
      <w:rPr>
        <w:rFonts w:ascii="Liberation Sans" w:hAnsi="Liberation Sans"/>
        <w:color w:val="8DA9DB" w:themeColor="accent5" w:themeShade="95" w:themeTint="9A"/>
        <w:sz w:val="22"/>
      </w:rPr>
      <w:tblPr/>
      <w:tcPr>
        <w:shd w:val="clear" w:color="CFDBF0" w:fill="CFDBF0" w:themeColor="accent5" w:themeTint="40" w:themeFill="accent5" w:themeFillTint="40"/>
      </w:tcPr>
    </w:tblStylePr>
    <w:tblStylePr w:type="band2Horz">
      <w:rPr>
        <w:rFonts w:ascii="Liberation Sans" w:hAnsi="Liberation Sans"/>
        <w:color w:val="8DA9DB" w:themeColor="accent5" w:themeShade="95" w:themeTint="9A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Shade="95" w:themeTint="98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Shade="95" w:themeTint="98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Shade="95" w:themeTint="98"/>
      </w:rPr>
    </w:tblStylePr>
    <w:tblStylePr w:type="lastCol">
      <w:rPr>
        <w:b/>
        <w:color w:val="A9D08E" w:themeColor="accent6" w:themeShade="95" w:themeTint="98"/>
      </w:rPr>
    </w:tblStylePr>
    <w:tblStylePr w:type="band1Vert">
      <w:tblPr/>
      <w:tcPr>
        <w:shd w:val="clear" w:color="DAEBCF" w:fill="DAEBCF" w:themeColor="accent6" w:themeTint="40" w:themeFill="accent6" w:themeFillTint="40"/>
      </w:tcPr>
    </w:tblStylePr>
    <w:tblStylePr w:type="band1Horz">
      <w:rPr>
        <w:rFonts w:ascii="Liberation Sans" w:hAnsi="Liberation Sans"/>
        <w:color w:val="A9D08E" w:themeColor="accent6" w:themeShade="95" w:themeTint="98"/>
        <w:sz w:val="22"/>
      </w:rPr>
      <w:tblPr/>
      <w:tcPr>
        <w:shd w:val="clear" w:color="DAEBCF" w:fill="DAEBCF" w:themeColor="accent6" w:themeTint="40" w:themeFill="accent6" w:themeFillTint="40"/>
      </w:tcPr>
    </w:tblStylePr>
    <w:tblStylePr w:type="band2Horz">
      <w:rPr>
        <w:rFonts w:ascii="Liberation Sans" w:hAnsi="Liberation Sans"/>
        <w:color w:val="A9D08E" w:themeColor="accent6" w:themeShade="95" w:themeTint="98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Shade="95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Color="light1" w:themeFill="light1"/>
      </w:tcPr>
    </w:tblStylePr>
    <w:tblStylePr w:type="lastRow">
      <w:rPr>
        <w:rFonts w:ascii="Liberation Sans" w:hAnsi="Liberation Sans"/>
        <w:i/>
        <w:color w:val="7F7F7F" w:themeColor="text1" w:themeShade="95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Color="light1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Shade="95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Shade="95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fill="BFBFBF" w:themeColor="text1" w:themeTint="40" w:themeFill="text1" w:themeFillTint="40"/>
      </w:tcPr>
    </w:tblStylePr>
    <w:tblStylePr w:type="band1Horz">
      <w:rPr>
        <w:rFonts w:ascii="Liberation Sans" w:hAnsi="Liberation Sans"/>
        <w:color w:val="7F7F7F" w:themeColor="text1" w:themeShade="95" w:themeTint="80"/>
        <w:sz w:val="22"/>
      </w:rPr>
      <w:tblPr/>
      <w:tcPr>
        <w:shd w:val="clear" w:color="BFBFBF" w:fill="BFBFBF" w:themeColor="text1" w:themeTint="40" w:themeFill="text1" w:themeFillTint="40"/>
      </w:tcPr>
    </w:tblStylePr>
    <w:tblStylePr w:type="band2Horz">
      <w:rPr>
        <w:rFonts w:ascii="Liberation Sans" w:hAnsi="Liberation Sans"/>
        <w:color w:val="7F7F7F" w:themeColor="text1" w:themeShade="95" w:themeTint="80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fill="FFFFFF" w:themeColor="light1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fill="FFFFFF" w:themeColor="light1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fill="D5E5F4" w:themeColor="accent1" w:themeTint="40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fill="D5E5F4" w:themeColor="accent1" w:themeTint="40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Shade="95" w:themeTint="97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fill="FFFFFF" w:themeColor="light1" w:themeFill="light1"/>
      </w:tcPr>
    </w:tblStylePr>
    <w:tblStylePr w:type="lastRow">
      <w:rPr>
        <w:rFonts w:ascii="Liberation Sans" w:hAnsi="Liberation Sans"/>
        <w:i/>
        <w:color w:val="F4B184" w:themeColor="accent2" w:themeShade="95" w:themeTint="97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FFFFFF" w:themeColor="light1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Shade="95" w:themeTint="97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Shade="95" w:themeTint="97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fill="FADECB" w:themeColor="accent2" w:themeTint="40" w:themeFill="accent2" w:themeFillTint="40"/>
      </w:tcPr>
    </w:tblStylePr>
    <w:tblStylePr w:type="band1Horz">
      <w:rPr>
        <w:rFonts w:ascii="Liberation Sans" w:hAnsi="Liberation Sans"/>
        <w:color w:val="F4B184" w:themeColor="accent2" w:themeShade="95" w:themeTint="97"/>
        <w:sz w:val="22"/>
      </w:rPr>
      <w:tblPr/>
      <w:tcPr>
        <w:shd w:val="clear" w:color="FADECB" w:fill="FADECB" w:themeColor="accent2" w:themeTint="40" w:themeFill="accent2" w:themeFillTint="40"/>
      </w:tcPr>
    </w:tblStylePr>
    <w:tblStylePr w:type="band2Horz">
      <w:rPr>
        <w:rFonts w:ascii="Liberation Sans" w:hAnsi="Liberation Sans"/>
        <w:color w:val="F4B184" w:themeColor="accent2" w:themeShade="95" w:themeTint="97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Shade="95" w:themeTint="98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fill="FFFFFF" w:themeColor="light1" w:themeFill="light1"/>
      </w:tcPr>
    </w:tblStylePr>
    <w:tblStylePr w:type="lastRow">
      <w:rPr>
        <w:rFonts w:ascii="Liberation Sans" w:hAnsi="Liberation Sans"/>
        <w:i/>
        <w:color w:val="C9C9C9" w:themeColor="accent3" w:themeShade="95" w:themeTint="98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fill="FFFFFF" w:themeColor="light1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Shade="95" w:themeTint="98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Shade="95" w:themeTint="98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fill="E8E8E8" w:themeColor="accent3" w:themeTint="40" w:themeFill="accent3" w:themeFillTint="40"/>
      </w:tcPr>
    </w:tblStylePr>
    <w:tblStylePr w:type="band1Horz">
      <w:rPr>
        <w:rFonts w:ascii="Liberation Sans" w:hAnsi="Liberation Sans"/>
        <w:color w:val="C9C9C9" w:themeColor="accent3" w:themeShade="95" w:themeTint="98"/>
        <w:sz w:val="22"/>
      </w:rPr>
      <w:tblPr/>
      <w:tcPr>
        <w:shd w:val="clear" w:color="E8E8E8" w:fill="E8E8E8" w:themeColor="accent3" w:themeTint="40" w:themeFill="accent3" w:themeFillTint="40"/>
      </w:tcPr>
    </w:tblStylePr>
    <w:tblStylePr w:type="band2Horz">
      <w:rPr>
        <w:rFonts w:ascii="Liberation Sans" w:hAnsi="Liberation Sans"/>
        <w:color w:val="C9C9C9" w:themeColor="accent3" w:themeShade="95" w:themeTint="98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Shade="95" w:themeTint="9A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fill="FFFFFF" w:themeColor="light1" w:themeFill="light1"/>
      </w:tcPr>
    </w:tblStylePr>
    <w:tblStylePr w:type="lastRow">
      <w:rPr>
        <w:rFonts w:ascii="Liberation Sans" w:hAnsi="Liberation Sans"/>
        <w:i/>
        <w:color w:val="FFD865" w:themeColor="accent4" w:themeShade="95" w:themeTint="9A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FFFFFF" w:themeColor="light1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Shade="95" w:themeTint="9A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Shade="95" w:themeTint="9A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fill="FFEFBF" w:themeColor="accent4" w:themeTint="40" w:themeFill="accent4" w:themeFillTint="40"/>
      </w:tcPr>
    </w:tblStylePr>
    <w:tblStylePr w:type="band1Horz">
      <w:rPr>
        <w:rFonts w:ascii="Liberation Sans" w:hAnsi="Liberation Sans"/>
        <w:color w:val="FFD865" w:themeColor="accent4" w:themeShade="95" w:themeTint="9A"/>
        <w:sz w:val="22"/>
      </w:rPr>
      <w:tblPr/>
      <w:tcPr>
        <w:shd w:val="clear" w:color="FFEFBF" w:fill="FFEFBF" w:themeColor="accent4" w:themeTint="40" w:themeFill="accent4" w:themeFillTint="40"/>
      </w:tcPr>
    </w:tblStylePr>
    <w:tblStylePr w:type="band2Horz">
      <w:rPr>
        <w:rFonts w:ascii="Liberation Sans" w:hAnsi="Liberation Sans"/>
        <w:color w:val="FFD865" w:themeColor="accent4" w:themeShade="95" w:themeTint="9A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Shade="95" w:themeTint="9A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fill="FFFFFF" w:themeColor="light1" w:themeFill="light1"/>
      </w:tcPr>
    </w:tblStylePr>
    <w:tblStylePr w:type="lastRow">
      <w:rPr>
        <w:rFonts w:ascii="Liberation Sans" w:hAnsi="Liberation Sans"/>
        <w:i/>
        <w:color w:val="8DA9DB" w:themeColor="accent5" w:themeShade="95" w:themeTint="9A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fill="FFFFFF" w:themeColor="light1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Shade="95" w:themeTint="9A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Shade="95" w:themeTint="9A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fill="CFDBF0" w:themeColor="accent5" w:themeTint="40" w:themeFill="accent5" w:themeFillTint="40"/>
      </w:tcPr>
    </w:tblStylePr>
    <w:tblStylePr w:type="band1Horz">
      <w:rPr>
        <w:rFonts w:ascii="Liberation Sans" w:hAnsi="Liberation Sans"/>
        <w:color w:val="8DA9DB" w:themeColor="accent5" w:themeShade="95" w:themeTint="9A"/>
        <w:sz w:val="22"/>
      </w:rPr>
      <w:tblPr/>
      <w:tcPr>
        <w:shd w:val="clear" w:color="CFDBF0" w:fill="CFDBF0" w:themeColor="accent5" w:themeTint="40" w:themeFill="accent5" w:themeFillTint="40"/>
      </w:tcPr>
    </w:tblStylePr>
    <w:tblStylePr w:type="band2Horz">
      <w:rPr>
        <w:rFonts w:ascii="Liberation Sans" w:hAnsi="Liberation Sans"/>
        <w:color w:val="8DA9DB" w:themeColor="accent5" w:themeShade="95" w:themeTint="9A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Shade="95" w:themeTint="98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fill="FFFFFF" w:themeColor="light1" w:themeFill="light1"/>
      </w:tcPr>
    </w:tblStylePr>
    <w:tblStylePr w:type="lastRow">
      <w:rPr>
        <w:rFonts w:ascii="Liberation Sans" w:hAnsi="Liberation Sans"/>
        <w:i/>
        <w:color w:val="A9D08E" w:themeColor="accent6" w:themeShade="95" w:themeTint="98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fill="FFFFFF" w:themeColor="light1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Shade="95" w:themeTint="98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Shade="95" w:themeTint="98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fill="DAEBCF" w:themeColor="accent6" w:themeTint="40" w:themeFill="accent6" w:themeFillTint="40"/>
      </w:tcPr>
    </w:tblStylePr>
    <w:tblStylePr w:type="band1Horz">
      <w:rPr>
        <w:rFonts w:ascii="Liberation Sans" w:hAnsi="Liberation Sans"/>
        <w:color w:val="A9D08E" w:themeColor="accent6" w:themeShade="95" w:themeTint="98"/>
        <w:sz w:val="22"/>
      </w:rPr>
      <w:tblPr/>
      <w:tcPr>
        <w:shd w:val="clear" w:color="DAEBCF" w:fill="DAEBCF" w:themeColor="accent6" w:themeTint="40" w:themeFill="accent6" w:themeFillTint="40"/>
      </w:tcPr>
    </w:tblStylePr>
    <w:tblStylePr w:type="band2Horz">
      <w:rPr>
        <w:rFonts w:ascii="Liberation Sans" w:hAnsi="Liberation Sans"/>
        <w:color w:val="A9D08E" w:themeColor="accent6" w:themeShade="95" w:themeTint="98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fill="7F7F7F" w:themeColor="text1" w:themeTint="80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fill="7F7F7F" w:themeColor="text1" w:themeTint="80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fill="7F7F7F" w:themeColor="text1" w:themeTint="80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fill="7F7F7F" w:themeColor="text1" w:themeTint="80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fill="F2F2F2" w:themeColor="text1" w:themeTint="0D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fill="F2F2F2" w:themeColor="text1" w:themeTint="0D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fill="68A2D8" w:themeColor="accent1" w:themeTint="EA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fill="68A2D8" w:themeColor="accent1" w:themeTint="EA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fill="68A2D8" w:themeColor="accent1" w:themeTint="EA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fill="68A2D8" w:themeColor="accent1" w:themeTint="EA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fill="CBDFF1" w:themeColor="accent1" w:themeTint="50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fill="CBDFF1" w:themeColor="accent1" w:themeTint="50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fill="F4B184" w:themeColor="accent2" w:themeTint="97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fill="F4B184" w:themeColor="accent2" w:themeTint="97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fill="F4B184" w:themeColor="accent2" w:themeTint="97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fill="F4B184" w:themeColor="accent2" w:themeTint="97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fill="FBE5D6" w:themeColor="accent2" w:themeTint="32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fill="FBE5D6" w:themeColor="accent2" w:themeTint="32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fill="A5A5A5" w:themeColor="accent3" w:themeTint="FE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fill="A5A5A5" w:themeColor="accent3" w:themeTint="FE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fill="A5A5A5" w:themeColor="accent3" w:themeTint="FE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fill="A5A5A5" w:themeColor="accent3" w:themeTint="FE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fill="ECECEC" w:themeColor="accent3" w:themeTint="34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fill="ECECEC" w:themeColor="accent3" w:themeTint="34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fill="FFD865" w:themeColor="accent4" w:themeTint="9A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fill="FFD865" w:themeColor="accent4" w:themeTint="9A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fill="FFD865" w:themeColor="accent4" w:themeTint="9A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fill="FFD865" w:themeColor="accent4" w:themeTint="9A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fill="FFF2CB" w:themeColor="accent4" w:themeTint="34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fill="FFF2CB" w:themeColor="accent4" w:themeTint="34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fill="4472C4" w:themeColor="accent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fill="4472C4" w:themeColor="accent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fill="4472C4" w:themeColor="accent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fill="4472C4" w:themeColor="accent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fill="D8E2F3" w:themeColor="accent5" w:themeTint="34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fill="D8E2F3" w:themeColor="accent5" w:themeTint="34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fill="70AD47" w:themeColor="accent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fill="70AD47" w:themeColor="accent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fill="70AD47" w:themeColor="accent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fill="70AD47" w:themeColor="accent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fill="E1EFD8" w:themeColor="accent6" w:themeTint="34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fill="E1EFD8" w:themeColor="accent6" w:themeTint="34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fill="7F7F7F" w:themeColor="text1" w:themeTint="80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fill="7F7F7F" w:themeColor="text1" w:themeTint="80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fill="7F7F7F" w:themeColor="text1" w:themeTint="80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fill="7F7F7F" w:themeColor="text1" w:themeTint="80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fill="F2F2F2" w:themeColor="text1" w:themeTint="0D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fill="F2F2F2" w:themeColor="text1" w:themeTint="0D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fill="68A2D8" w:themeColor="accent1" w:themeTint="EA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fill="68A2D8" w:themeColor="accent1" w:themeTint="EA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fill="68A2D8" w:themeColor="accent1" w:themeTint="EA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fill="68A2D8" w:themeColor="accent1" w:themeTint="EA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fill="CBDFF1" w:themeColor="accent1" w:themeTint="50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fill="CBDFF1" w:themeColor="accent1" w:themeTint="50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fill="F4B184" w:themeColor="accent2" w:themeTint="97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fill="F4B184" w:themeColor="accent2" w:themeTint="97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fill="F4B184" w:themeColor="accent2" w:themeTint="97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fill="F4B184" w:themeColor="accent2" w:themeTint="97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fill="FBE5D6" w:themeColor="accent2" w:themeTint="32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fill="FBE5D6" w:themeColor="accent2" w:themeTint="32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fill="A5A5A5" w:themeColor="accent3" w:themeTint="FE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fill="A5A5A5" w:themeColor="accent3" w:themeTint="FE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fill="A5A5A5" w:themeColor="accent3" w:themeTint="FE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fill="A5A5A5" w:themeColor="accent3" w:themeTint="FE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fill="ECECEC" w:themeColor="accent3" w:themeTint="34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fill="ECECEC" w:themeColor="accent3" w:themeTint="34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fill="FFD865" w:themeColor="accent4" w:themeTint="9A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fill="FFD865" w:themeColor="accent4" w:themeTint="9A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fill="FFD865" w:themeColor="accent4" w:themeTint="9A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fill="FFD865" w:themeColor="accent4" w:themeTint="9A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fill="FFF2CB" w:themeColor="accent4" w:themeTint="34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fill="FFF2CB" w:themeColor="accent4" w:themeTint="34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fill="4472C4" w:themeColor="accent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fill="4472C4" w:themeColor="accent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fill="4472C4" w:themeColor="accent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fill="4472C4" w:themeColor="accent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fill="D8E2F3" w:themeColor="accent5" w:themeTint="34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fill="D8E2F3" w:themeColor="accent5" w:themeTint="34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fill="70AD47" w:themeColor="accent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fill="70AD47" w:themeColor="accent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fill="70AD47" w:themeColor="accent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fill="70AD47" w:themeColor="accent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fill="E1EFD8" w:themeColor="accent6" w:themeTint="34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fill="E1EFD8" w:themeColor="accent6" w:themeTint="34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EndnoteText">
    <w:name w:val="endnote text"/>
    <w:basedOn w:val="Normal"/>
    <w:link w:val="a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5">
    <w:name w:val="Текст концевой сноски Знак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Times New Roman" w:hAnsi="Times New Roman" w:eastAsiaTheme="minorEastAsia" w:cs="Times New Roman"/>
      <w:sz w:val="24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Arial" w:hAnsi="Arial" w:eastAsiaTheme="minorEastAsia" w:cs="Arial"/>
      <w:b/>
      <w:sz w:val="24"/>
      <w:lang w:eastAsia="ru-RU"/>
    </w:rPr>
  </w:style>
  <w:style w:type="table" w:styleId="TableGrid">
    <w:name w:val="Table Grid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a6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DefaultParagraphFont"/>
    <w:link w:val="CommentText"/>
    <w:uiPriority w:val="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7"/>
    <w:uiPriority w:val="99"/>
    <w:semiHidden/>
    <w:unhideWhenUsed/>
    <w:rPr>
      <w:b/>
      <w:bCs/>
    </w:rPr>
  </w:style>
  <w:style w:type="character" w:customStyle="1" w:styleId="a7">
    <w:name w:val="Тема примечания Знак"/>
    <w:basedOn w:val="a6"/>
    <w:link w:val="CommentSubject"/>
    <w:uiPriority w:val="99"/>
    <w:semiHidden/>
    <w:rPr>
      <w:b/>
      <w:bCs/>
      <w:sz w:val="20"/>
      <w:szCs w:val="20"/>
    </w:rPr>
  </w:style>
  <w:style w:type="paragraph" w:styleId="BalloonText">
    <w:name w:val="Balloon Text"/>
    <w:basedOn w:val="Normal"/>
    <w:link w:val="a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a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0">
    <w:name w:val="Стиль1"/>
    <w:uiPriority w:val="99"/>
    <w:pPr>
      <w:numPr>
        <w:numId w:val="6"/>
      </w:numPr>
    </w:pPr>
  </w:style>
  <w:style w:type="paragraph" w:styleId="Revision">
    <w:name w:val="Revision"/>
    <w:hidden/>
    <w:uiPriority w:val="99"/>
    <w:semiHidden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3DCE8-7EFA-4AD0-B0AE-A7B2CEADD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Силина Екатерина Дмитриевна</dc:creator>
  <cp:lastModifiedBy>Силина Екатерина Дмитриевна</cp:lastModifiedBy>
  <cp:revision>5</cp:revision>
  <dcterms:created xsi:type="dcterms:W3CDTF">2026-08-10T10:39:00Z</dcterms:created>
  <dcterms:modified xsi:type="dcterms:W3CDTF">2026-08-10T15:43:00Z</dcterms:modified>
</cp:coreProperties>
</file>