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991" w:rsidRPr="00C44A1E" w:rsidRDefault="00414991" w:rsidP="00FC36A5">
      <w:pPr>
        <w:pStyle w:val="a7"/>
        <w:spacing w:line="360" w:lineRule="auto"/>
        <w:jc w:val="center"/>
        <w:rPr>
          <w:rFonts w:ascii="Times New Roman" w:hAnsi="Times New Roman" w:cs="Times New Roman"/>
          <w:b/>
          <w:sz w:val="24"/>
          <w:szCs w:val="24"/>
        </w:rPr>
      </w:pPr>
      <w:r w:rsidRPr="00C44A1E">
        <w:rPr>
          <w:rFonts w:ascii="Times New Roman" w:hAnsi="Times New Roman" w:cs="Times New Roman"/>
          <w:b/>
          <w:sz w:val="24"/>
          <w:szCs w:val="24"/>
        </w:rPr>
        <w:t>МИНИСТЕРСТВО ЗДРАВООХРАНЕНИЯ РОССИЙСКОЙ ФЕДЕРАЦИИ</w:t>
      </w:r>
    </w:p>
    <w:p w:rsidR="00414991" w:rsidRPr="00C44A1E" w:rsidRDefault="00CE1395" w:rsidP="00FC36A5">
      <w:pPr>
        <w:pStyle w:val="a7"/>
        <w:spacing w:line="360" w:lineRule="auto"/>
        <w:jc w:val="center"/>
        <w:rPr>
          <w:rFonts w:ascii="Times New Roman" w:hAnsi="Times New Roman" w:cs="Times New Roman"/>
          <w:b/>
          <w:sz w:val="24"/>
          <w:szCs w:val="24"/>
        </w:rPr>
      </w:pPr>
      <w:hyperlink r:id="rId6" w:history="1">
        <w:r w:rsidR="00414991" w:rsidRPr="00C44A1E">
          <w:rPr>
            <w:rStyle w:val="a4"/>
            <w:rFonts w:ascii="Times New Roman" w:hAnsi="Times New Roman" w:cs="Times New Roman"/>
            <w:b/>
            <w:sz w:val="24"/>
            <w:szCs w:val="24"/>
          </w:rPr>
          <w:t>Клинические рекомендации "Туберкулез у детей"</w:t>
        </w:r>
      </w:hyperlink>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Кодирование по Международной статистической классификации болезней и проблем, связанных со здоровьем: A15, A19, A16, A17, A18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Год утверждения (частота пересмотра): 2026 Пересмотр не позднее: 2028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ID: 507_4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Возрастная категория: Дети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Специальность: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Разработчик клинической рекомендации Российское Общество Фтизиатров, Национальная ассоциация некоммерческих организаций фтизиатров "Ассоциация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Одобрено Научно-практическим Советом Минздрава России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Список сокращений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АЛТ аланинаминотрансфераза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АСТ аспартатаминотрансфераза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АТР** аллерген туберкулезный рекомбинантный в стандартном разведении**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ВИЧ вирус иммунодефицита человека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ВК врачебная комиссия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ВЛТ внелегочный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ВСВИ воспалительный синдром восстановления иммунитета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ДНК дезоксирибонуклеиновая кислота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ИП искусственный пневмоторакс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ИПМ индивидуальный план медицинской реабилитации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КББ клапанная бронхоблокация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КУМ кислотоустойчивые микроорганизмы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КПФД комбинированные препараты с фиксированными дозами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ЛУ лекарственная устойчивость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ЛЧ лекарственная чувствительность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ЛРЦ лечебно-реабилитационный центр</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МБТ микобактерии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МБТК микобактерии туберкулезного комплекса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МГМ молекулярно-генетические методы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МЛУ множественная лекарственная устойчивость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МЛУ ТБ туберкулез, вызванный возбудителем с МЛУ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МРК мультидисциплинарная реабилитационная команда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РР ТБ туберкулез, вызванный возбудителем с устойчивостью к рифампицину**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НПВП нестероидные противовоспалительные и противоревматические препараты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НТМБ нетуберкулезные микобактерии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пре-ШЛУ </w:t>
      </w:r>
      <w:proofErr w:type="gramStart"/>
      <w:r w:rsidRPr="00C44A1E">
        <w:rPr>
          <w:rFonts w:ascii="Times New Roman" w:hAnsi="Times New Roman" w:cs="Times New Roman"/>
          <w:sz w:val="24"/>
          <w:szCs w:val="24"/>
        </w:rPr>
        <w:t>пре-широкая</w:t>
      </w:r>
      <w:proofErr w:type="gramEnd"/>
      <w:r w:rsidRPr="00C44A1E">
        <w:rPr>
          <w:rFonts w:ascii="Times New Roman" w:hAnsi="Times New Roman" w:cs="Times New Roman"/>
          <w:sz w:val="24"/>
          <w:szCs w:val="24"/>
        </w:rPr>
        <w:t xml:space="preserve"> лекарственная устойчивость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ПТП противотуберкулезный препарат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ПТК первичный туберкулезный комплекс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ПЦР полимеразная цепная реакция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СКТ спиральная компьютерная томография легких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ТБ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ТВГЛУ туберкулез внутригрудных лимфатических узлов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ТПЛУ туберкулез периферических лимфатических узлов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ТТГ тиреотропный гормон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УГТ урогенитальный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ЦНС центральная нервная система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ФРБТ Федеральный регистр лиц, больных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ШЛУ широкая лекарственная устойчивость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ШЛУ ТБ туберкулез, вызванный возбудителем с ШЛУ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ЭГДС эзофагогастродуоденоскопия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ЭК</w:t>
      </w:r>
      <w:proofErr w:type="gramEnd"/>
      <w:r w:rsidRPr="00C44A1E">
        <w:rPr>
          <w:rFonts w:ascii="Times New Roman" w:hAnsi="Times New Roman" w:cs="Times New Roman"/>
          <w:sz w:val="24"/>
          <w:szCs w:val="24"/>
        </w:rPr>
        <w:t xml:space="preserve"> эндобронхиальный клапан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IGRA Interferon-Gamma Release Assays</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H изониазид**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R рифампицин**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P #рифапентин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Z #пиразинамид**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E #этамбутол**</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S стрептомицин**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Km канамицин**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Am #амикацин**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Cm #капреомицин*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Lfx #левофлоксацин**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Mfx #моксифлоксацин**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Pto #протионамид**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Eto #этионамид**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Bq #бедаквилин**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Lzd #линезолид**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Dlm #деламанид**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Imp #имипенем+[циластатин]**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Mp #меропенем**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Cs циклосерин**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Trd #теризидон**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Cfz #клофазимин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PAS аминосалициловая кислота**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Pa #претоманид.</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Термины и определения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Больной туберкулезом с МЛУ возбудителя (больной МЛУ ТБ) - больной, у которого заболевание вызвано M. tuberculosis complex с устойчивостью к рифампицину** или множественной лекарственной устойчивостью, подтвержденной любым бактериологическим, или молекулярно-биологическим методом, или клинически установленный;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Впервые выявленный пациент с туберкулезом ("новый случай") - пациент с туберкулезом, который ранее не принимал противотуберкулезные препараты в виде курса лечения туберкулеза или принимал их менее 1 месяца.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Пациент с рецидивом туберкулеза - пациент, у которого предыдущий курс химиотерапии туберкулеза был завершен эффективно, а затем был зарегистрирован повторный эпизод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Пациент с другим случаем повторного лечения - это пациент, у которого зарегистрирован повторный эпизод заболевания после прерывания терапии или неэффективного курса 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Иммунодиагностика - совокупность диагностических тестов, позволяющих обнаружить реакцию иммунной системы на наличие микобактерий туберкулеза (МБТ) в организме человека.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Туберкулезная инфекция (Инфицирование МБТ) - состояние, при котором МБТ присутствуют в организме человека, обусловливая положительную реакцию на внутрикожную пробу с туберкулезным аллергеном (аллерген туберкулезный для диагностики**), не связанную с вакцинацией, при отсутствии клинических и рентгенологических признаков заболевания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Латентная туберкулезная инфекция (ЛТИ) - состояние, при котором МБТ присутствуют в организме человека, обусловливая положительные реакции на аллерген туберкулезный рекомбинантный (АТР) в стандартном разведении** и/или положительный результат исследования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на антигены Mycobacterium tuberculosis complex в крови (тесты IGRA), при отсутствии клинических и рентгенологических признаков заболевания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Лекарственная устойчивость (ЛУ) - это способность культуры возбудителя расти на питательной среде, содержащей лекарственный препарат в критической концентрации, что позволяет с большой вероятностью предполагать отсутствие клинического эффекта при применении этого препарата в стандартной дозировке.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Лекарственная чувствительность (ЛЧ) - это способность культуры возбудителя расти на питательной среде, содержащей лекарственный препарат в критической концентрации, что позволяет с большой вероятностью предполагать клиническую эффективность применения этого препарата в стандартной дозировке.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Лекарственная чувствительность клинически установленная - это лекарственная чувствительность M. tuberculosis complex к лекарственным препаратам, установленная по клинико-анамнестическим данным при отсутствии ее лабораторного подтверждения.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M. tuberculosis complex (МБТК) - группа микроорганизмов рода Mycobacterium tuberculosis complex, вызывающих специфические туберкулезные поражения органов и тканей.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Малая форма туберкулеза - характеризуется небольшой гиперплазией 1 - 2-х групп внутригрудных лимфатических узлов (от 0,5 до 1,5 см) или наличием единичных до 10 мм очагов в пределах 1-го или 2-х сегментов одного или обоих легких.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Монорезистентность - устойчивость микобактерии туберкулеза только к одному противотуберкулезному препарату (кроме рифампицина**).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Устойчивость к изониазиду** - подтвержденная любым бактериологическим или молекулярно-генетическим методом лекарственная устойчивость M. tuberculosis complex к изониазиду** с подтвержденной чувствительностью к рифампицину** независимо от лекарственной устойчивости к другим противотуберкулезным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Устойчивость к рифампицину** (рифампицин-резистентность, РР) - это подтвержденная любым бактериологическим или молекулярно-генетическим методом лекарственная устойчивость M. tuberculosis complex к рифампицину** независимо от лекарственной устойчивости к другим противотуберкулезным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Множественная лекарственная устойчивость (МЛУ) - подтвержденная любым бактериологическим или молекулярно-генетическим методом лекарственная устойчивость </w:t>
      </w:r>
      <w:r w:rsidRPr="00C44A1E">
        <w:rPr>
          <w:rFonts w:ascii="Times New Roman" w:hAnsi="Times New Roman" w:cs="Times New Roman"/>
          <w:sz w:val="24"/>
          <w:szCs w:val="24"/>
        </w:rPr>
        <w:lastRenderedPageBreak/>
        <w:t xml:space="preserve">M. tuberculosis </w:t>
      </w:r>
      <w:proofErr w:type="gramStart"/>
      <w:r w:rsidRPr="00C44A1E">
        <w:rPr>
          <w:rFonts w:ascii="Times New Roman" w:hAnsi="Times New Roman" w:cs="Times New Roman"/>
          <w:sz w:val="24"/>
          <w:szCs w:val="24"/>
        </w:rPr>
        <w:t>complex</w:t>
      </w:r>
      <w:proofErr w:type="gramEnd"/>
      <w:r w:rsidRPr="00C44A1E">
        <w:rPr>
          <w:rFonts w:ascii="Times New Roman" w:hAnsi="Times New Roman" w:cs="Times New Roman"/>
          <w:sz w:val="24"/>
          <w:szCs w:val="24"/>
        </w:rPr>
        <w:t xml:space="preserve"> по крайней мере к изониазиду** и рифампицину** независимо от устойчивости к другим противотуберкулезным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Множественная лекарственная устойчивость клинически установленная - это множественная лекарственная устойчивость M. tuberculosis complex, установленная по клинико-анамнестическим данным при отсутствии ее лабораторного подтверждения.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Полирезистентность - устойчивость </w:t>
      </w:r>
      <w:proofErr w:type="gramStart"/>
      <w:r w:rsidRPr="00C44A1E">
        <w:rPr>
          <w:rFonts w:ascii="Times New Roman" w:hAnsi="Times New Roman" w:cs="Times New Roman"/>
          <w:sz w:val="24"/>
          <w:szCs w:val="24"/>
        </w:rPr>
        <w:t>к</w:t>
      </w:r>
      <w:proofErr w:type="gramEnd"/>
      <w:r w:rsidRPr="00C44A1E">
        <w:rPr>
          <w:rFonts w:ascii="Times New Roman" w:hAnsi="Times New Roman" w:cs="Times New Roman"/>
          <w:sz w:val="24"/>
          <w:szCs w:val="24"/>
        </w:rPr>
        <w:t xml:space="preserve"> более </w:t>
      </w:r>
      <w:proofErr w:type="gramStart"/>
      <w:r w:rsidRPr="00C44A1E">
        <w:rPr>
          <w:rFonts w:ascii="Times New Roman" w:hAnsi="Times New Roman" w:cs="Times New Roman"/>
          <w:sz w:val="24"/>
          <w:szCs w:val="24"/>
        </w:rPr>
        <w:t>чем</w:t>
      </w:r>
      <w:proofErr w:type="gramEnd"/>
      <w:r w:rsidRPr="00C44A1E">
        <w:rPr>
          <w:rFonts w:ascii="Times New Roman" w:hAnsi="Times New Roman" w:cs="Times New Roman"/>
          <w:sz w:val="24"/>
          <w:szCs w:val="24"/>
        </w:rPr>
        <w:t xml:space="preserve"> одному противотуберкулезному препарату первого ряда, за исключением сочетания изониазида** и рифампицина**</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Пре-широкая</w:t>
      </w:r>
      <w:proofErr w:type="gramEnd"/>
      <w:r w:rsidRPr="00C44A1E">
        <w:rPr>
          <w:rFonts w:ascii="Times New Roman" w:hAnsi="Times New Roman" w:cs="Times New Roman"/>
          <w:sz w:val="24"/>
          <w:szCs w:val="24"/>
        </w:rPr>
        <w:t xml:space="preserve"> лекарственная устойчивость (пре-ШЛУ) - подтвержденная любым бактериологическим или молекулярно-биологическим методом лекарственная устойчивость M. tuberculosis complex к рифампицину** с подтвержденной или неизвестной устойчивостью к изониазиду** в сочетании с устойчивостью к #левофлоксацину** и/или #моксифлоксацину**.</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Пре-широкая</w:t>
      </w:r>
      <w:proofErr w:type="gramEnd"/>
      <w:r w:rsidRPr="00C44A1E">
        <w:rPr>
          <w:rFonts w:ascii="Times New Roman" w:hAnsi="Times New Roman" w:cs="Times New Roman"/>
          <w:sz w:val="24"/>
          <w:szCs w:val="24"/>
        </w:rPr>
        <w:t xml:space="preserve"> лекарственная устойчивость клинически установленная - пре-широкая лекарственная устойчивость M. tuberculosis complex, установленная по клинико-анамнестическим данным при отсутствии ее лабораторного подтверждения.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Режим химиотерапии (РХТ) - комбинация противотуберкулезных препаратов, длительность и кратность их приема, сроки и содержание контрольных исследований, а также организационные формы проведения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Рифампицин-устойчивый туберкулез (РУ-ТБ) - ТБ, вызванный устойчивыми к рифампицину** штаммами M. tuberculosis. Эти штаммы могут быть чувствительными или устойчивыми к изониазиду** (МЛУ-ТБ) либо устойчивыми к другим противотуберкулезным препаратам первого или второго ряда. Случаи МЛУ-ТБ и РУ-ТБ часто объединены в определение МЛУ/РУ-ТБ, когда применяются режимы лечения МЛУ-ТБ.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Устойчивость к изониазиду** (изониазид*</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резистентность, ИР) - это подтвержденная любым бактериологическим или молекулярно-биологическим методом лекарственная устойчивость M. tuberculosis complex к изониазиду** с подтвержденной чувствительностью к рифампицину**, независимо от лекарственной устойчивости к другим противотуберкулезным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Факторы риска заболевания туберкулезом - совокупность признаков и данных анамнеза, повышающих риск развития локального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Широкая лекарственная устойчивость (ШЛУ) - это подтвержденная любым бактериологическим или молекулярно-биологическим методом лекарственная устойчивость M. tuberculosis complex к рифампицину** с подтвержденной или неизвестной устойчивостью к изониазиду** в сочетании с устойчивостью к #левофлоксацину** и/или #моксифлоксацину** и, по крайней мере, к #линезолиду** или #бедаквилину**.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Широкая лекарственная устойчивость клинически установленная - это широкая лекарственная устойчивость M. tuberculosis complex, установленная по клинико-анамнестическим данным при отсутствии ее лабораторного подтверждения.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МЛУ ТБ - туберкулез, вызванный штаммами M. tuberculosis complex с множественной лекарственной устойчивостью, подтвержденной любым бактериологическим, или молекулярно-биологическим методом, или клинически установленный;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Пре-ШЛУ ТБ - туберкулез, вызванный штаммами M. tuberculosis complex с </w:t>
      </w:r>
      <w:proofErr w:type="gramStart"/>
      <w:r w:rsidRPr="00C44A1E">
        <w:rPr>
          <w:rFonts w:ascii="Times New Roman" w:hAnsi="Times New Roman" w:cs="Times New Roman"/>
          <w:sz w:val="24"/>
          <w:szCs w:val="24"/>
        </w:rPr>
        <w:t>пре-широкой</w:t>
      </w:r>
      <w:proofErr w:type="gramEnd"/>
      <w:r w:rsidRPr="00C44A1E">
        <w:rPr>
          <w:rFonts w:ascii="Times New Roman" w:hAnsi="Times New Roman" w:cs="Times New Roman"/>
          <w:sz w:val="24"/>
          <w:szCs w:val="24"/>
        </w:rPr>
        <w:t xml:space="preserve"> лекарственной устойчивостью, подтвержденной любым бактериологическим, или молекулярно-биологическим методом, или клинически установленный;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ШЛУ ТБ - туберкулез, вызванный штаммами M. tuberculosis complex с широкой лекарственной устойчивостью;</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Химиопрофилактика (превентивное лечение) - применение противотуберкулезных препаратов лицам без признаков туберкулеза, но с повышенным риском его развития, для снижения вероятности развития заболевания.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1. Краткая информация по заболеванию или состоянию (группы заболеваний или состояний)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1.1 Определение заболевания или состояния (группы заболеваний или состояний)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 это инфекционное заболевание, вызываемое микобактериями туберкулеза (Mycobacterium tuberculosis complex - МБТК), при котором могут быть поражены любые органы и ткани человеческого тела (кроме волос и ногтей).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1.2 Этиология и патогенез заболевания или состояния (группы заболеваний или состояний)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МБТК включает Mycobacterium tuberculosis, Mycobacterium bovis и ее вариант БЦЖ (бацилла Кальметта-Герена), Mycobacterium africanum, Mycobacterium microti, Mycobacterium canetti, Mycobacterium caprae, Mycobacterium pinnipedii. Эта группа микобактерий отличается выраженным генетическим сходством. Большинство случаев заболевания туберкулезом (до 95%) вызываются Mycobacterium tuberculosis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Основными биохимическими компонентами микобактерий туберкулеза (МБТ) являются белки (туберкулопротеиды), которые индуцируют специфическую тканевую воспалительную реакцию с образованием гранулемы. МБТ устойчивы к кислотам (кислотоустойчивые), щелочам и спиртам, что дает возможность микобактерии длительное время сохранять свои патогенные свойства во внешней среде.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Важным свойством изменчивости МБТ является формирование устойчивости к противотуберкулезным препаратам, которая закрепляется генетически, что создало серьезную проблему общественного здравоохранения во всем мире - распространение туберкулеза с множественной и широкой лекарственной устойчивостью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Естественный резервуар туберкулезной микобактерии - человек, домашние и дикие животные, птицы.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Основным механизмом передачи инфекции является </w:t>
      </w:r>
      <w:proofErr w:type="gramStart"/>
      <w:r w:rsidRPr="00C44A1E">
        <w:rPr>
          <w:rFonts w:ascii="Times New Roman" w:hAnsi="Times New Roman" w:cs="Times New Roman"/>
          <w:sz w:val="24"/>
          <w:szCs w:val="24"/>
        </w:rPr>
        <w:t>аэрогенный</w:t>
      </w:r>
      <w:proofErr w:type="gramEnd"/>
      <w:r w:rsidRPr="00C44A1E">
        <w:rPr>
          <w:rFonts w:ascii="Times New Roman" w:hAnsi="Times New Roman" w:cs="Times New Roman"/>
          <w:sz w:val="24"/>
          <w:szCs w:val="24"/>
        </w:rPr>
        <w:t>. Для инфицирования и заболевания туберкулезом имеют значение массивность инфекции, продолжительность контакта с больным туберкулезом и состояние иммунной системы восприимчивого организма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Инфицирование МБТ - это инфекционный процесс, при котором отсутствуют клинические проявления болезни при наличии жизнеспособных микобактерий в организме.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При наличии факторов риска внешних и внутренних, приводящих к снижению общей резистентности организма, развивается заболевание туберкулезом, которое идентифицируется появлением клинико-рентгенологических, лабораторных и микробиологических признаков патологии. Болезнь, как правило, локализуется во внутригрудных лимфатических узлах, легких, однако в процесс могут вовлекаться и другие органы. Туберкулезу свойственно многообразие клинических и патоморфологических проявлений [1,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развитии болезни различают два периода: первичный и вторичный. Первичный туберкулез характеризуется феноменом заражения (первичного инфицирования); с точки зрения патогенеза - развитием генерализации туберкулезного процесса, поражением лимфатической системы, частым появлением внелегочных форм заболевания и гиперсенсибилизации организма.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Вторичный процесс возникает в результате эндогенной реактивации очагов туберкулезной инфекции на фоне ослабления иммунитета или в результате повторного проникновения МБТ в организм из внешней среды - экзогенной суперинфекции.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Патоморфологически воспалительный процесс характеризуется формированием туберкулезной гранулемы (бугорка): эпителиоидно-клеточные бугорки с многоядерными клетками Лангханса и некротическими участками (казеоз) являются специфичными для туберкулеза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Для детей характерны признаки первичного туберкулезного поражения. В структуре клинических форм заболевания преобладает туберкулез внутригрудных лимфатических узлов (ВГЛУ) - около 75 - 80%, первичный туберкулезный комплекс (ПТК) - около 10 - 15% [1, 2].</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1.3 Эпидемиология заболевания или состояния (группы заболеваний или состояний)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Заболеваемость детей - важная характеристика эпидемической ситуации по туберкулезу в целом.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 оценочным данным ВОЗ в 2024 г. заболели туберкулезом 10,7 миллиона человек, что эквивалентно 131 случаю заболевания на 100 000 населения. Из них 1,177 млн. детей (0 - 14 лет). Умерло в 2024 году от туберкулеза детей (0 - 14 лет) - 172 000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В настоящее время в РФ отмечается стойкая положительная динамика эпидемической ситуации по туберкулезу у детей. Последние 5 лет продолжается снижение показателя заболеваемости туберкулезом как в целом у детей и подростков, так и в различные возрастные периоды. </w:t>
      </w:r>
      <w:proofErr w:type="gramStart"/>
      <w:r w:rsidRPr="00C44A1E">
        <w:rPr>
          <w:rFonts w:ascii="Times New Roman" w:hAnsi="Times New Roman" w:cs="Times New Roman"/>
          <w:sz w:val="24"/>
          <w:szCs w:val="24"/>
        </w:rPr>
        <w:t>Показатель заболеваемости туберкулезом детей в возрасте 0 - 14 лет уменьшился с 7,7 на 100 000 детей в 2019 году, до 6,0 на 100 000 детей в 2024 году; в группе детей 15 - 17 лет с 16,5 на 100 000 детей в 2019 году до 12,7 на 100 000 детей в 2024 году.</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Одним из показателей результативности процесса активного выявления заболевания может быть выявление у детей случаев фиброзно-кавернозного туберкулеза легких. Последний случай фиброзно-кавернозного туберкулеза у впервые выявленных больных туберкулезом детей отмечался в 2020 году. В 2019 и 2021 - 2023 гг. случаев его выявления не отмечалось, в то время как до 2018 г. ежегодно выявлялось 1 - 2 случая фиброзно-кавернозного туберкулеза у детей. </w:t>
      </w:r>
      <w:proofErr w:type="gramStart"/>
      <w:r w:rsidRPr="00C44A1E">
        <w:rPr>
          <w:rFonts w:ascii="Times New Roman" w:hAnsi="Times New Roman" w:cs="Times New Roman"/>
          <w:sz w:val="24"/>
          <w:szCs w:val="24"/>
        </w:rPr>
        <w:t xml:space="preserve">Косвенным признаком результативности охвата детей профилактическими осмотрами с целью выявления туберкулеза стало снижение числа и доли детей 0 - 14 лет с туберкулезом мозговых оболочек и центральной нервной системы </w:t>
      </w:r>
      <w:r w:rsidRPr="00C44A1E">
        <w:rPr>
          <w:rFonts w:ascii="Times New Roman" w:hAnsi="Times New Roman" w:cs="Times New Roman"/>
          <w:sz w:val="24"/>
          <w:szCs w:val="24"/>
        </w:rPr>
        <w:lastRenderedPageBreak/>
        <w:t>в 2023 году до 4 детей (0,26%) (в 2019 году - 4 ребенка (0,25%), 2020 год - 7 (0,41%), 2021 - 8 (0,47%), 2022 - 10 (0,3%));</w:t>
      </w:r>
      <w:proofErr w:type="gramEnd"/>
      <w:r w:rsidRPr="00C44A1E">
        <w:rPr>
          <w:rFonts w:ascii="Times New Roman" w:hAnsi="Times New Roman" w:cs="Times New Roman"/>
          <w:sz w:val="24"/>
          <w:szCs w:val="24"/>
        </w:rPr>
        <w:t xml:space="preserve"> в 2014 году этот показатель составлял 16 чел. (0,52%) [5, 144]. </w:t>
      </w:r>
      <w:proofErr w:type="gramStart"/>
      <w:r w:rsidRPr="00C44A1E">
        <w:rPr>
          <w:rFonts w:ascii="Times New Roman" w:hAnsi="Times New Roman" w:cs="Times New Roman"/>
          <w:sz w:val="24"/>
          <w:szCs w:val="24"/>
        </w:rPr>
        <w:t>Также следует отметить, что число впервые выявленных больных туберкулезом детей в возрасте 0 - 14 лет с бактериовыделением снизилось и в 2023 году составило у 86 детей (0,34 на 100 тыс.) (в 2019 г. - 88 детей (0,34 на 100 тыс.), в 2020 г. - 109 детей (0,42 на 100 тыс.), в 2021 год - 117 детей (0,46 на 100 тыс.), в 2022 год</w:t>
      </w:r>
      <w:proofErr w:type="gramEnd"/>
      <w:r w:rsidRPr="00C44A1E">
        <w:rPr>
          <w:rFonts w:ascii="Times New Roman" w:hAnsi="Times New Roman" w:cs="Times New Roman"/>
          <w:sz w:val="24"/>
          <w:szCs w:val="24"/>
        </w:rPr>
        <w:t xml:space="preserve"> - 94 ребенка (0,37 на 100 тыс.). Если говорить о динамике за более длительный период, то в 2014 году число детей 0 - 14 лет с бактериовыделением составляло 140 (0,57 на 100 тыс.), соответственно снижение к 2023 году составило 38,5%, даже несмотря на рост качества микробиологической диагностики туберкулеза в этот период [144]. Отсутствие бактериовыделения у детей предполагает назначение эмпирических режимов химиотерапии, что представляет определенные сложности для врача.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Блок "Туберкулез" (A15 - A19) включен в класс I "Некоторые инфекционные и паразитарные болезни (A00 - B99).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(A15 - A19)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Включены: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инфекции, вызванные Mycobacterium tuberculosis и Mycobacterium bovis</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Исключены: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врожденный туберкулез (P37.0)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болезнь, вызванная ВИЧ, с проявлениями микобактериальной инфекции (B20.0)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пневмокониоз, связанный с туберкулезом (J65)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последствия туберкулеза (B90.)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силикотуберкулез (J65)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органов дыхания, подтвержденный бактериологически и гистологически (A15):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A15.0 - Туберкулез легких, подтвержденный бактериоскопически с наличием или отсутствием роста культуры;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A15.1 - Туберкулез легких, подтвержденный только ростом культуры;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A15.2 - Туберкулез легких, подтвержденный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A15.3 - Туберкулез легких, подтвержденный неуточненными методами;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A15.4 - Туберкулез внутригрудных лимфатических узлов, подтвержденный бактериологически и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A15.5 - Туберкулез гортани, трахеи и бронхов, подтвержденный бактериологически и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A15.6 - Туберкулезный плеврит, подтвержденный бактериологически и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A15.7 - Первичный туберкулез органов дыхания, подтвержденный бактериологически и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A15.8 - Туберкулез других органов дыхания, подтвержденный бактериологически и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A15.9 - Туберкулез органов дыхания неуточненной локализации, подтвержденный бактериологически и гистологически;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органов дыхания, не подтвержденный бактериологически или гистологически (A16):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A16.0 - Туберкулез легких при отрицательных результатах бактериологических и гистологических исследований;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A16.1 - Туберкулез легких без проведения бактериологического и гистологического исследований;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A16.2 - Туберкулез легких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A16.3 - Туберкулез внутригрудных лимфатических узлов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A16.4 - Туберкулез гортани, трахеи и бронхов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A16.5 - Туберкулезный плеврит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A16.7 - Первичный туберкулез органов дыхания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A16.8 - Туберкулез других органов дыхания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A16.9 - Туберкулез органов дыхания неуточненной локализации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A17+ - Туберкулез нервной системы;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A17.0+ - Туберкулезный менингит (G01*);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A17.1+ - Менингеальная туберкулема (G07*);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A17.8+ - Туберкулез нервной системы других локализаций;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A17.9+ - Туберкулез нервной системы неуточненный (G99.8*);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A18 - Туберкулез других органов;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A18.0+ - Туберкулез костей и суставов;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A18.1+ - Туберкулез мочеполовых органов;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A18.2 - Туберкулезная периферическая лимфаденопатия;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A18.3 - Туберкулез кишечника, брюшины и брыжеечных лимфатических узлов;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A18.4 - Туберкулез кожи и подкожной клетчатки;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A18.5+ - Туберкулез глаза;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A18.6+ - Туберкулез уха;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A18.7+ - Туберкулез надпочечников (E35.1*);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A18.8+ - Туберкулез других уточненных органов;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A19 - Милиарный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A19.0 - Острый милиарный туберкулез одной уточненной локализации;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A19.1 - Острый милиарный туберкулез множественной локализации;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A19.2 - Острый милиарный туберкулез неуточненной локализации;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A19.8 - Другие формы милиарного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A19.9 - Милиарный туберкулез неуточненной локализации.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Основные коды, применяемые для шифрования болезни у детей: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A15.7; A16.7 Первичный туберкулез органов дыхания;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A16.3 - Туберкулез внутригрудных лимфатических узлов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A16.5 - Туберкулезный плеврит без упоминания о бактериологическом или гистологическом подтверждении;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A16.7 - Первичный туберкулез органов дыхания без упоминания о бактериологическом или гистологическом подтверждении.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bookmarkStart w:id="0" w:name="P197"/>
      <w:bookmarkEnd w:id="0"/>
      <w:r w:rsidRPr="00C44A1E">
        <w:rPr>
          <w:rFonts w:ascii="Times New Roman" w:hAnsi="Times New Roman" w:cs="Times New Roman"/>
          <w:b/>
          <w:sz w:val="24"/>
          <w:szCs w:val="24"/>
        </w:rPr>
        <w:t>1.5 Классификация заболевания или состояния (группы заболеваний или состояний)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Классификация туберкулеза в целом соответствует МКБ-10. В основу классификации туберкулеза, используемой в Российской Федерации, положены несколько принципов. Это клинико-рентгенологические и патоморфологические особенности туберкулезного процесса (в том числе локализация и распространенность), его течение (фазы) и наличие бактериовыделения [1].</w:t>
      </w:r>
    </w:p>
    <w:p w:rsidR="00414991" w:rsidRPr="00C44A1E" w:rsidRDefault="00414991">
      <w:pPr>
        <w:spacing w:before="28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Современная отечественная классификация туберкулеза принята на VII Российском съезде фтизиатров и</w:t>
      </w:r>
      <w:r w:rsidR="00CE1395">
        <w:rPr>
          <w:rFonts w:ascii="Times New Roman" w:hAnsi="Times New Roman" w:cs="Times New Roman"/>
          <w:sz w:val="24"/>
          <w:szCs w:val="24"/>
        </w:rPr>
        <w:t xml:space="preserve"> закреплена приказом МЗ РФ от 21</w:t>
      </w:r>
      <w:r w:rsidRPr="00C44A1E">
        <w:rPr>
          <w:rFonts w:ascii="Times New Roman" w:hAnsi="Times New Roman" w:cs="Times New Roman"/>
          <w:sz w:val="24"/>
          <w:szCs w:val="24"/>
        </w:rPr>
        <w:t xml:space="preserve"> марта 2003 г. N 109: "О совершенствовании противотуберкулезных мероприятий в Российской Федерации". Классификация состоит из четырех основных разделов: клинические формы туберкулеза, характеристика туберкулезного процесса, осложнения туберкулеза, остаточные изменения после излеченного туберкулеза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Характеристика туберкулезного процесса включает данные по локализации и фазе процесса, а также наличию или отсутствию МБТ в диагностическом материале, полученном от пациента.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Локализация и распространенность процесса: в легких по долям, сегментам, а в других органах по локализации поражения.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Фаза процесса: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 инфильтрации, распада, обсеменения;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 рассасывания, уплотнения, рубцевания, обызвествления.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Бактериовыделение: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 с выделением микобактерий туберкулеза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 без выделения микобактерий туберкулеза (МБТ</w:t>
      </w:r>
      <w:proofErr w:type="gramStart"/>
      <w:r w:rsidRPr="00C44A1E">
        <w:rPr>
          <w:rFonts w:ascii="Times New Roman" w:hAnsi="Times New Roman" w:cs="Times New Roman"/>
          <w:sz w:val="24"/>
          <w:szCs w:val="24"/>
        </w:rPr>
        <w:t>-).</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Осложнения туберкулеза: кровохарканье и легочное кровотечение, спонтанный пневмоторакс, свищи, легочно-сердечная недостаточность. У детей обычно - ателектаз, бронхолегочное поражение.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Остаточные изменения после излеченного туберкулеза органов дыхания: фиброзные, фиброзно-очаговые, буллезно-дистрофические, плевропневмосклероз, цирроз. У детей чаще - кальцинаты в легких и лимфатических узлах.</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Основные клинические формы туберкулеза: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 Туберкулез органов дыхания: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Выделяют следующие клинические формы туберкулеза органов дыхания: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первичный туберкулезный комплекс (форма первичного туберкулеза, характеризующаяся развитием воспалительных изменений в легочной ткани, поражением регионарных внутригрудных лимфатических узлов и лимфангитом);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туберкулез внутригрудных лимфатических узлов (поражение различных групп лимфатических узлов в результате первичного заражения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диссеминированный туберкулез легких (различные процессы, развивающиеся в результате распространения микобактерий туберкулеза гематогенным, лимфогенным и смешанным путями; протекает как острый, подострый и хронический);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очаговый туберкулез легких (характеризуется наличием фокусных образований до 1,0 см диаметром продуктивного, экссудативного и </w:t>
      </w:r>
      <w:proofErr w:type="gramStart"/>
      <w:r w:rsidRPr="00C44A1E">
        <w:rPr>
          <w:rFonts w:ascii="Times New Roman" w:hAnsi="Times New Roman" w:cs="Times New Roman"/>
          <w:sz w:val="24"/>
          <w:szCs w:val="24"/>
        </w:rPr>
        <w:t>казеозного-некротического</w:t>
      </w:r>
      <w:proofErr w:type="gramEnd"/>
      <w:r w:rsidRPr="00C44A1E">
        <w:rPr>
          <w:rFonts w:ascii="Times New Roman" w:hAnsi="Times New Roman" w:cs="Times New Roman"/>
          <w:sz w:val="24"/>
          <w:szCs w:val="24"/>
        </w:rPr>
        <w:t xml:space="preserve"> генеза, локализующихся в одном или обоих легких и занимающих 1 - 2 сегмента);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инфильтративный туберкулез легких (характеризуется наличием воспалительных фокусов в легких более 1,0 см в диаметре, преимущественно экссудативного характера с казеозным некрозом и наличием или отсутствием деструкции легочной ткани и бронхогенного обсеменения);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казеозная пневмония (развитие специфического процесса с преобладанием казеозно-некротического воспаления, локализующегося я в пределах доли и более, для </w:t>
      </w:r>
      <w:r w:rsidRPr="00C44A1E">
        <w:rPr>
          <w:rFonts w:ascii="Times New Roman" w:hAnsi="Times New Roman" w:cs="Times New Roman"/>
          <w:sz w:val="24"/>
          <w:szCs w:val="24"/>
        </w:rPr>
        <w:lastRenderedPageBreak/>
        <w:t>которого характерны тяжелое состояние пациента, лихорадка, выраженная интоксикация, обильное бактериовыделение);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туберкулема легких (фокус казеозного некроза более 1,0 см в диаметре, окруженный фиброзной капсулой);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кавернозный туберкулез легких (характеризуется наличием сформированной каверны при отсутствии выраженных фиброзных изменений в окружающей каверну легочной ткани);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фиброзно-кавернозный туберкулез легких (характеризуется наличием фиброзной каверны, развитием фиброзных изменений и других морфологических изменений в легких (пневмосклероз, эмфизема, бронхоэктазы) и наличием очагов бронхогенного отсева различной давности; течение часто сопровождается осложнениями);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цирротический туберкулез легких (форма туберкулеза, в которой доминирует разрастание грубой соединительной ткани в легких и плевре при сохранении в толще цирротических изменений фиброзной каверны);</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туберкулезный плеврит (в том числе эмпиема) (диагноз устанавливают на основании наличия выпота серозного, серозно-фибринозного, гнойного, реже - геморрагического характера по совокупности клинических и рентгенологических признаков, а характер плеврита - по результатам исследования материала, полученного при пункции плевральной полости или биопсии плевры.</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Туберкулез плевры, сопровождающийся накоплением гнойного экссудата, представляет собой особую форму экссудативного плеврита - эмпиему, которая развивается при распространенном казеозном поражении плевры, а также в результате перфорации каверны или субплеврально расположенных очагов);</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туберкулез бронхов, трахеи, верхних дыхательных путей (различают три основные формы туберкулеза бронхов и трахеи: инфильтративную, язвенную и свищевую (лимфобронхиальные, бронхоплевральные свищи);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милиарный туберкулез, как разновидность генерализованного процесса, характеризуется острым течением с быстрой диссеминацией (генерализацией) преимущественно продуктивного характера с поражением различных органов и систем (острый милиарный туберкулез множественных локализаций).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 Туберкулез других органов и систем: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Помимо туберкулеза органов дыхания у детей редко, но могут быть другие формы туберкулеза - внелегочной (внеторакальной) локализации. Внелегочный туберкулез часто сочетается с туберкулезом органов дыхания и развивается в результате преимущественно гематогенного распространения туберкулезной инфекции. ВЛТ не имеет патогномоничных симптомов. Заподозрить заболевание следует в первую очередь при неэффективности стандартного лечения, частых рецидивах "неспецифического" заболевания, под маской которого протекает та или иная форма ВЛТ, а также при появлении свищей любой локализации.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внелегочном туберкулезе (ВЛТ) классификация зависит от локализации процесса.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Костно-суставной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чаще поражаются позвонки, крупные одиночные суставы и трубчатые кости "богатые" губчатым веществом.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Стадии (фазы) процесса: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 фаза - преартритическая (преспондилитическая), формирование первичного очага (остита) вблизи сустава;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II фаза - артритическая (спондилитическая) переход воспаления с кости на сустав с развитием вторичного артрита;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III фаза - постартритическая (постспондилитическая) исход заболевания, стабилизация процесса.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Необходимо отметить, что костно-суставной туберкулез практически никогда не диагностируется на стадии первичного очага, обычно протекающего без клинических проявлений. Неактивный туберкулез устанавливают при сохранении остаточных специфических изменений (ограниченных мелких обызвествленных костных очагов или абсцессов в мягких тканях) и отсутствии клинико-лабораторной активности. Термин "остаточные изменения" применяют у клинически излеченных пациентов, полностью закончивших основной курс специфической противотуберкулезной терапии. Выявление соответствующих изменений у пациентов, не получавших специфического лечения, рассматривают как хронический неактивный процесс. Отсутствие клинических, лучевых и лабораторных признаков активного туберкулезного процесса после основного курса комплексного лечения при отсутствии остаточных изменений и последствий расценивают как излечение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Практически все клинические формы костно-суставного туберкулеза относят к хирургическим заболеваниям, а их выявление рассматривают как показания к операции.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Оперативное лечение является компонентом комплексного лечения, включающего также противотуберкулезную химиотерапию [Приложение N 6 к приказу Минздрава России от 21.03.2003 N 109] и реабилитационно-восстановительное лечение. При первично синовиальных формах туберкулезного артрита показания к операции устанавливают индивидуально, с учетом выраженности анатомофункциональных нарушений и эффективности консервативного лечения.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Туберкулез центральной нервной системы (ЦНС)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Факторы, способствующие возникновению туберкулезного менингита в детском возрасте: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отсутствие вакцинации вакциной для профилактики туберкулеза** (БЦЖ, БЦЖ-М);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иммунодефицитного состояния;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массивная инфекция и позднее выявление процесса.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Принято различать следующие основные формы туберкулеза ЦНС, которые, по сути, являются различными стадиями одного патологического процесса: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Базилярный менингит;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Менингоэнцефалит;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Спинальная форма (менигоэнцефаломиелит);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Туберкулема головного (спинного) мозга;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Туберкулезный абсцесс головного мозга.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Помимо типичного, варианты атипичного начала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Тип "острого серозного базилярного менингита". Острое начало заболевания с повышения температуры, головной боли, поражения черепно-мозговых нервов, выраженным менингиальным синдромом;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Тип "Абортивного менингита" (на фоне специфической 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Тип "Черепно-мозговой травмы";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Тип "Летаргического энцефалита";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Тип "Острого гнойного менингита";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Тип "Острого нарушения кровообращения";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типичном течении туберкулезного менингита выделяют три периода: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продромальный период;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период раздражения ЦНС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период парезов и параличей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Исходы туберкулезного менингита: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излечение без остаточных изменений;</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излечение с выраженными остаточными изменениями (снижение интеллекта,</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синдром двигательных расстройств, гидроцефалия, эпилепсия);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летальный исход.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(Подробно клиника, диагностика и лечение туберкулеза ЦНС у детей представлена в Федеральных клинических рекомендациях по диагностике и лечению туберкулезного менингита у детей: https://docviewer.yandex.ru/view/0/?*=)</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Урогенитальный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Клиническая классификация урогенитального туберкулеза включает следующие формы: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 Туберкулез мочевой системы: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Туберкулез почек (нефротуберкулез)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Туберкулез паренхимы почек (I стадия, бездеструктивная форма).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Туберкулезный папиллит (II стадия, ограниченно-деструктивная форма).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 </w:t>
      </w:r>
      <w:proofErr w:type="gramStart"/>
      <w:r w:rsidRPr="00C44A1E">
        <w:rPr>
          <w:rFonts w:ascii="Times New Roman" w:hAnsi="Times New Roman" w:cs="Times New Roman"/>
          <w:sz w:val="24"/>
          <w:szCs w:val="24"/>
        </w:rPr>
        <w:t>Кавернозный</w:t>
      </w:r>
      <w:proofErr w:type="gramEnd"/>
      <w:r w:rsidRPr="00C44A1E">
        <w:rPr>
          <w:rFonts w:ascii="Times New Roman" w:hAnsi="Times New Roman" w:cs="Times New Roman"/>
          <w:sz w:val="24"/>
          <w:szCs w:val="24"/>
        </w:rPr>
        <w:t xml:space="preserve"> нефротуберкулез (III стадия, деструктивная форма).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Поликавернозный нефротуберкулез (IV стадия, распространенно-деструктивная форма).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Осложнения нефротуберкулеза: хроническая почечная недостаточность (ХПН), формирование свища поясничной области вследствие прорыва каверны почки в паранефральное пространство, артериальная гипертензия.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Туберкулез мочевыводящих путей (лоханки, мочеточника, мочевого пузыря, уретры) всегда вторичен по отношению к туберкулезу почек.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II. Туберкулез мужских половых органов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III. Туберкулез женских половых органов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IV. Генерализованный мочеполовой туберкулез - одновременное поражение органов мочевой и половой систем; как правило, сопровождается развитием осложнений.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Абдоминальный туберкулез - это специфическое туберкулезное поражение органов пищеварения, лимфатических узлов брыжейки тонкой кишки и забрюшинного пространства, брюшины.</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Классификация абдоминального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Туберкулез кишечника: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Инфильтративный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Инфильтративно-язвенный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Рубцово-стенотический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Осложнения: перфорация язв с развитием перитонита или абсцессов брюшной полости, кишечное кровотечение, рубцово-язвенные стриктуры кишки с развитием полной или частичной кишечной непроходимости.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Туберкулез брюшины (туберкулезный перитонит):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Экссудативный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Адгезивный (слипчивый)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Казеозно-некротический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Осложнения: спаечная кишечная непроходимость, фибринозно-гнойный перитонит, абсцесс брюшной полости.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Туберкулез лимфатических узлов брюшной полости: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Активная фаза (инфильтрация, казеозный некроз)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Неактивная фаза (рубцевание, петрификация)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Осложнения: абсцесс брюшной полости или забрюшинного пространства, перитонит.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4. Туберкулез других органов брюшной полости (селезенки, печени, желудка и пр.).</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Сочетание туберкулезного поражения различных органов и тканей брюшной полости.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1.6 Клиническая картина заболевания или состояния (группы заболеваний или состояний)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Клиническая картина течения туберкулеза у детей во многом отличается от таковой у взрослых. У детей наблюдаются в основном первичные формы туберкулеза, которые протекают достаточно благоприятно без выраженной клинической симптоматики, а чаще бессимптомно. Выявляется туберкулез у детей преимущественно профилактически при внутрикожной пробе с туберкулезным аллергеном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Клинические проявления туберкулеза у детей характеризуются отсутствием патогномоничных симптомов и выраженным полиморфизмом [2, 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Часто у детей не бывает локальных симптомов заболевания, а начальные проявления выражаются в симптомах интоксикации (функциональные расстройства различных органов и систем):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общая слабость и плохое самочувствие;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субфебрильная непостоянная температура в течение длительного промежутка времени;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снижение аппетита, потеря веса или отсутствие прибавки веса;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нарушение работы вегетативной нервной системы в виде усиленного потоотделения, учащенного сердцебиения, резкой смены настроения.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первичном туберкулезе возможны параспецифические (токсико-аллергические) проявления, обусловленные особой реакцией иммунокомпетентной системы в ответ на туберкулезную инфекцию. При этом нарушается функция органов, что проявляется различной клинической картиной ("маски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узловатая эритема на кожных покровах, чаще в области голеней;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увеличение периферических лимфатических узлов (микрополиадения);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блефарит, фликтенулезный кератоконъюнктивит;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синовиты, чаще коленных суставов.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Наиболее выраженные клинические симптомы появляются при распространенных и осложненных формах первичного туберкулеза: упорный кашель, лихорадка, одышка, боль в грудной клетке, реже кровохарканье. В таких случаях приходится дифференцировать туберкулез с неспецифическими воспалительными процессами (как </w:t>
      </w:r>
      <w:proofErr w:type="gramStart"/>
      <w:r w:rsidRPr="00C44A1E">
        <w:rPr>
          <w:rFonts w:ascii="Times New Roman" w:hAnsi="Times New Roman" w:cs="Times New Roman"/>
          <w:sz w:val="24"/>
          <w:szCs w:val="24"/>
        </w:rPr>
        <w:t>правило</w:t>
      </w:r>
      <w:proofErr w:type="gramEnd"/>
      <w:r w:rsidRPr="00C44A1E">
        <w:rPr>
          <w:rFonts w:ascii="Times New Roman" w:hAnsi="Times New Roman" w:cs="Times New Roman"/>
          <w:sz w:val="24"/>
          <w:szCs w:val="24"/>
        </w:rPr>
        <w:t xml:space="preserve"> с пневмонией).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Симптомы у детей: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Первичного остита (остеомиелит):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жалобы на боли, ограничение игровой активности, локальный отек;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 возможно повышение температуры тела - </w:t>
      </w:r>
      <w:proofErr w:type="gramStart"/>
      <w:r w:rsidRPr="00C44A1E">
        <w:rPr>
          <w:rFonts w:ascii="Times New Roman" w:hAnsi="Times New Roman" w:cs="Times New Roman"/>
          <w:sz w:val="24"/>
          <w:szCs w:val="24"/>
        </w:rPr>
        <w:t>от</w:t>
      </w:r>
      <w:proofErr w:type="gramEnd"/>
      <w:r w:rsidRPr="00C44A1E">
        <w:rPr>
          <w:rFonts w:ascii="Times New Roman" w:hAnsi="Times New Roman" w:cs="Times New Roman"/>
          <w:sz w:val="24"/>
          <w:szCs w:val="24"/>
        </w:rPr>
        <w:t xml:space="preserve"> субфебрильной до фебрильной;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появление безболезненных или малоболезненных объемных образований в мягких тканях;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формирование абсцессов с признаками флуктуации, гиперемии кожи, часто - без выраженных изменений общего статуса;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умеренный суставной синдром (при околосуставных оститах), как правило, без существенного уменьшения и болезненности движений в суставах.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этой стадии развития специфический процесс может осложняться параартикулярными абсцессами и свищами.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Артрита (остеоартрита, синовита):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нарастает болевой синдром, связанный с пассивными и активными движениями в суставе - от </w:t>
      </w:r>
      <w:proofErr w:type="gramStart"/>
      <w:r w:rsidRPr="00C44A1E">
        <w:rPr>
          <w:rFonts w:ascii="Times New Roman" w:hAnsi="Times New Roman" w:cs="Times New Roman"/>
          <w:sz w:val="24"/>
          <w:szCs w:val="24"/>
        </w:rPr>
        <w:t>умеренного</w:t>
      </w:r>
      <w:proofErr w:type="gramEnd"/>
      <w:r w:rsidRPr="00C44A1E">
        <w:rPr>
          <w:rFonts w:ascii="Times New Roman" w:hAnsi="Times New Roman" w:cs="Times New Roman"/>
          <w:sz w:val="24"/>
          <w:szCs w:val="24"/>
        </w:rPr>
        <w:t xml:space="preserve"> до выраженного;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субфебрильная или фебрильная температурная реакция;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суставной синдром: отек, контрактура и тугоподвижность,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Спондилита: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деформация позвоночника, чаще одноплоскостная (кифоз), </w:t>
      </w:r>
      <w:proofErr w:type="gramStart"/>
      <w:r w:rsidRPr="00C44A1E">
        <w:rPr>
          <w:rFonts w:ascii="Times New Roman" w:hAnsi="Times New Roman" w:cs="Times New Roman"/>
          <w:sz w:val="24"/>
          <w:szCs w:val="24"/>
        </w:rPr>
        <w:t>от</w:t>
      </w:r>
      <w:proofErr w:type="gramEnd"/>
      <w:r w:rsidRPr="00C44A1E">
        <w:rPr>
          <w:rFonts w:ascii="Times New Roman" w:hAnsi="Times New Roman" w:cs="Times New Roman"/>
          <w:sz w:val="24"/>
          <w:szCs w:val="24"/>
        </w:rPr>
        <w:t xml:space="preserve"> пуговчатого до остроугольного;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болевой синдром;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изменение общего самочувствия;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температурная реакция - субфебрильная или фебрильная;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неврологические нарушения, чаще - при поражениях грудных и шейных позвонков: парезы, параличи;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абсцессы в зонах, удаленных от уровня поражения позвоночника, в т.ч. в подвздошных областях, на бедре и т.д. (устаревшее название - натечные абсцессы)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Редко формируется хронический деструктивный остеоартрит, как </w:t>
      </w:r>
      <w:proofErr w:type="gramStart"/>
      <w:r w:rsidRPr="00C44A1E">
        <w:rPr>
          <w:rFonts w:ascii="Times New Roman" w:hAnsi="Times New Roman" w:cs="Times New Roman"/>
          <w:sz w:val="24"/>
          <w:szCs w:val="24"/>
        </w:rPr>
        <w:t>правило</w:t>
      </w:r>
      <w:proofErr w:type="gramEnd"/>
      <w:r w:rsidRPr="00C44A1E">
        <w:rPr>
          <w:rFonts w:ascii="Times New Roman" w:hAnsi="Times New Roman" w:cs="Times New Roman"/>
          <w:sz w:val="24"/>
          <w:szCs w:val="24"/>
        </w:rPr>
        <w:t xml:space="preserve"> при отсутствии адекватного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Изменения в суставе формируются после затихания острой стадии, медленно прогрессируют с повторными обострениями, сопровождаются разрушением сустава с присоединением трофических изменений конечности в виде гипотонии и гипотрофии мышц.</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Остаточные изменения: основные воспалительные проявления артрита (спондилита) стихают.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Может развиваться нарушение роста костей, образующих сустав и анатомо-функциональная недостаточность смежных отделов скелета, кальцинированные включения в суставе, мягких тканях, нарушение функции органа.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Туберкулез паренхимы почек - минимальная, начальная форма нефротуберкулеза, без деструкции ткани, когда возможно не только клиническое, но и анатомическое излечение. В анализах мочи у детей патологических изменений может не быть, либо изменения в виде лейкоцитурии, микрогематурии. Признаком заболевания является, как правило, обнаружение МБТ в моче. Осложнения развиваются крайне редко. Прогноз благоприятный. Исход при благоприятном течении - клиническое и анатомическое излечение; формирование </w:t>
      </w:r>
      <w:proofErr w:type="gramStart"/>
      <w:r w:rsidRPr="00C44A1E">
        <w:rPr>
          <w:rFonts w:ascii="Times New Roman" w:hAnsi="Times New Roman" w:cs="Times New Roman"/>
          <w:sz w:val="24"/>
          <w:szCs w:val="24"/>
        </w:rPr>
        <w:t>мелких</w:t>
      </w:r>
      <w:proofErr w:type="gramEnd"/>
      <w:r w:rsidRPr="00C44A1E">
        <w:rPr>
          <w:rFonts w:ascii="Times New Roman" w:hAnsi="Times New Roman" w:cs="Times New Roman"/>
          <w:sz w:val="24"/>
          <w:szCs w:val="24"/>
        </w:rPr>
        <w:t xml:space="preserve"> кальцинатов в паренхиме почки; при неблагоприятном - прогрессирование туберкулезного воспаления с формированием субкортикальной каверны или туберкулезного папиллита.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Туберкулезный папиллит на ранних стадиях может протекать бессимптомно. В целом это заболевание протекает достаточно тяжело в случае, если инфекционным процессом поражено несколько почечных сосочков.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Воспаление приобретает деструктивный характер и охватывает всю толщу пирамид почек с казеозным распадом и формированием каверн (полостей), которые могут быть как изолированными, так и сообщающимися с чашечно-лоханочной системой, появляются боли в поясничной области. Бактериурия (МБТ) обнаруживается не всегда. Полости распада могут очищаться и превращаться в гладкостенные кисты.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заживлении каверн происходит обызвествление (отложение солей кальция) казеозных очагов, в глубине которых нередко сохраняются жизнеспособные микобактерии.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Кавернозный туберкулез почки патогенетически развивается двумя путями - из туберкулеза паренхимы или из папиллита. В первом случае формируется субкортикальная каверна, не сообщающаяся с чашечно-лоханочной системой; клиническая картина аналогична таковой при карбункуле почки. Диагностируется субкортикальная каверна, как правило, патоморфологически после операции в общей лечебной сети. Во втором случае формирование каверны идет за счет распространения деструкции сосочка.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 детей встречается крайне редко.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Как правило, </w:t>
      </w:r>
      <w:proofErr w:type="gramStart"/>
      <w:r w:rsidRPr="00C44A1E">
        <w:rPr>
          <w:rFonts w:ascii="Times New Roman" w:hAnsi="Times New Roman" w:cs="Times New Roman"/>
          <w:sz w:val="24"/>
          <w:szCs w:val="24"/>
        </w:rPr>
        <w:t>кавернозный</w:t>
      </w:r>
      <w:proofErr w:type="gramEnd"/>
      <w:r w:rsidRPr="00C44A1E">
        <w:rPr>
          <w:rFonts w:ascii="Times New Roman" w:hAnsi="Times New Roman" w:cs="Times New Roman"/>
          <w:sz w:val="24"/>
          <w:szCs w:val="24"/>
        </w:rPr>
        <w:t xml:space="preserve"> нефротуберкулез требует хирургического лечения. Полного излечения добиться невозможно, хотя применение методик комплексной этиопатогенетической терапии позволяет в некоторых случаях трансформировать каверну почки в санированную кисту. Благоприятный исход - трансформация каверны в санированную кисту, формирование посттуберкулезной деформации чашечно-лоханочной системы.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мочевыводящих путей (лоханки, мочеточника, мочевого пузыря, уретры) возникает только на фоне туберкулеза почек, может рассматриваться как осложнение.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гениталий встречается редко, может быть у подростков, в период гематогенной диссеминации из первичного очага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Развивается у девочек-подростков: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сальпингит (90%);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эндометрит;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сальпингоофорит.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 мальчиков-подростков может возникать: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туберкулезный эпидидимит (одно- или двусторонний).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туберкулезный орхоэпидидимит (одно- или двусторонний).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периферических лимфатических узлов (ТПЛУ) сопровождается увеличением чаще всего шейных, надключичных лимфатических узлов с одной стороны. Может протекать бессимптомно, с постепенным нарастанием казеозного некроза в строме узла.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В этом случае появляются симптомы интоксикации, кожа над лимфатическим узлом становится гиперемированной, истонченной, появляется флуктуация, образуется абсцесс. </w:t>
      </w:r>
      <w:proofErr w:type="gramStart"/>
      <w:r w:rsidRPr="00C44A1E">
        <w:rPr>
          <w:rFonts w:ascii="Times New Roman" w:hAnsi="Times New Roman" w:cs="Times New Roman"/>
          <w:sz w:val="24"/>
          <w:szCs w:val="24"/>
        </w:rPr>
        <w:t>В 10% случаев могут произойти расплавление и прорыв казеозно-некротических масс с образованием свищей с густым гнойным отделяемым, обычно серовато-белого цвета, без запаха.</w:t>
      </w:r>
      <w:proofErr w:type="gramEnd"/>
      <w:r w:rsidRPr="00C44A1E">
        <w:rPr>
          <w:rFonts w:ascii="Times New Roman" w:hAnsi="Times New Roman" w:cs="Times New Roman"/>
          <w:sz w:val="24"/>
          <w:szCs w:val="24"/>
        </w:rPr>
        <w:t xml:space="preserve"> После опорожнения лимфатических узлов температура тела снижается, уменьшается болезненность, свищи медленно заживают с образованием характерных рубцов в виде уздечек или сосочков.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неполном опорожнении узлов заболевание приобретает хроническое течение с периодическими обострениями.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Увеличение периферических лимфатических узлов может быть проявлением Микобактериоза (заболевание, вызванное нетуберкулезными микобактериями - НТМБ), особенно у лиц с ВИЧ-инфекцией.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bookmarkStart w:id="1" w:name="P365"/>
      <w:bookmarkEnd w:id="1"/>
      <w:r w:rsidRPr="00C44A1E">
        <w:rPr>
          <w:rFonts w:ascii="Times New Roman" w:hAnsi="Times New Roman" w:cs="Times New Roman"/>
          <w:b/>
          <w:sz w:val="24"/>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Критерии установления диагноза/состояния: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не имеет специфических признаков, его клинические проявления разнообразны, заболевание может поражать различные органы и ткани, иногда локализуясь одновременно в нескольких органах.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Диагноз формулируется в следующей последовательности: клиническая форма туберкулеза, локализация, фаза процесса, бактериовыделение (МБТ + с указанием лекарственной чувствительности МБТ), осложнения.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Диагноз туберкулеза считается верифицированным, если у пациента, наряду с клинико-лабораторными и рентгенологическими признаками туберкулеза, идентифицированы МБТ любым микробиологическим и молекулярно-генетическим методом (этиологическая верификация) и/или получены результаты гистологического исследования, указывающие на наличие туберкулезной гранулемы в пораженном органе (морфологическая верификация).</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Диагноз туберкулеза считается установленным, если у пациента имеются клинико-рентгенологические признаки заболевания, но отсутствует бактериовыделение и гистологическое подтверждение диагноза (верификация диагноза).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выявлении МБТ без клинических, рентгенологических и лабораторных признаков заболевания требуется динамического наблюдение за пациентом с повторным исследованием биологического материала на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Диагноз "Туберкулез" подтверждается комиссией врачей противотуберкулезной медицинской организации, которая принимает решение о необходимости диспансерного наблюдения и лечения пациента с туберкулезом.</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Критерии установления диагноза: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Диагноз туберкулеза устанавливается на комплексе данных: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анамнестических: длительность симптомов интоксикации и респираторных жалоб, эпизоды кровохарканья, отсутствие эффекта от проведения неспецифического лечения, контакт с пациентом с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иммунодиагностических тестов (</w:t>
      </w:r>
      <w:proofErr w:type="gramStart"/>
      <w:r w:rsidRPr="00C44A1E">
        <w:rPr>
          <w:rFonts w:ascii="Times New Roman" w:hAnsi="Times New Roman" w:cs="Times New Roman"/>
          <w:sz w:val="24"/>
          <w:szCs w:val="24"/>
        </w:rPr>
        <w:t>положительные</w:t>
      </w:r>
      <w:proofErr w:type="gramEnd"/>
      <w:r w:rsidRPr="00C44A1E">
        <w:rPr>
          <w:rFonts w:ascii="Times New Roman" w:hAnsi="Times New Roman" w:cs="Times New Roman"/>
          <w:sz w:val="24"/>
          <w:szCs w:val="24"/>
        </w:rPr>
        <w:t xml:space="preserve"> кожные и/или in vitro - IGRA);</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лабораторных</w:t>
      </w:r>
      <w:proofErr w:type="gramEnd"/>
      <w:r w:rsidRPr="00C44A1E">
        <w:rPr>
          <w:rFonts w:ascii="Times New Roman" w:hAnsi="Times New Roman" w:cs="Times New Roman"/>
          <w:sz w:val="24"/>
          <w:szCs w:val="24"/>
        </w:rPr>
        <w:t>: в анализе крови умеренные воспалительные изменения, лимфоцитоз;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рентгенологических: увеличение внутригрудных лимфатических узлов, наличие очаговых, инфильтративных, полостных образований в легочной ткани;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наличие признаков поражения органов и систем внелегочной локализации;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микробиологических</w:t>
      </w:r>
      <w:proofErr w:type="gramEnd"/>
      <w:r w:rsidRPr="00C44A1E">
        <w:rPr>
          <w:rFonts w:ascii="Times New Roman" w:hAnsi="Times New Roman" w:cs="Times New Roman"/>
          <w:sz w:val="24"/>
          <w:szCs w:val="24"/>
        </w:rPr>
        <w:t xml:space="preserve"> (этиологическая диагностика);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иных (инструментальные методы исследования, морфологические).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Основным условием диагностики туберкулеза является комплексное обследование пациента, включая все доступные методы исследования.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2.1 Жалобы и анамнез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Рекомендовано выяснение наличия следующих жалоб у детей, направленных к врачу-фтизиатру, с целью исключения заболевания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ухудшение общего состояния;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2) повышение температуры тела </w:t>
      </w:r>
      <w:proofErr w:type="gramStart"/>
      <w:r w:rsidRPr="00C44A1E">
        <w:rPr>
          <w:rFonts w:ascii="Times New Roman" w:hAnsi="Times New Roman" w:cs="Times New Roman"/>
          <w:sz w:val="24"/>
          <w:szCs w:val="24"/>
        </w:rPr>
        <w:t>до</w:t>
      </w:r>
      <w:proofErr w:type="gramEnd"/>
      <w:r w:rsidRPr="00C44A1E">
        <w:rPr>
          <w:rFonts w:ascii="Times New Roman" w:hAnsi="Times New Roman" w:cs="Times New Roman"/>
          <w:sz w:val="24"/>
          <w:szCs w:val="24"/>
        </w:rPr>
        <w:t xml:space="preserve"> субфебрильной (постоянно или периодически);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ухудшение аппетита, снижение массы тела;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появление повышенной возбудимости или наоборот, сниженной активности ребенка, повышенная потливость (чаще ночная);</w:t>
      </w:r>
    </w:p>
    <w:p w:rsidR="00414991" w:rsidRDefault="00414991">
      <w:pPr>
        <w:spacing w:after="1"/>
        <w:rPr>
          <w:rFonts w:ascii="Times New Roman" w:hAnsi="Times New Roman" w:cs="Times New Roman"/>
          <w:sz w:val="24"/>
          <w:szCs w:val="24"/>
        </w:rPr>
      </w:pPr>
    </w:p>
    <w:p w:rsidR="00CE1395" w:rsidRPr="00CE1395" w:rsidRDefault="00CE1395" w:rsidP="00CE1395">
      <w:pPr>
        <w:shd w:val="clear" w:color="auto" w:fill="DBE5F1" w:themeFill="accent1" w:themeFillTint="33"/>
        <w:spacing w:after="1"/>
        <w:rPr>
          <w:rFonts w:ascii="Times New Roman" w:hAnsi="Times New Roman" w:cs="Times New Roman"/>
          <w:b/>
          <w:i/>
          <w:sz w:val="24"/>
          <w:szCs w:val="24"/>
        </w:rPr>
      </w:pPr>
      <w:r w:rsidRPr="00CE1395">
        <w:rPr>
          <w:rFonts w:ascii="Times New Roman" w:hAnsi="Times New Roman" w:cs="Times New Roman"/>
          <w:b/>
          <w:i/>
          <w:sz w:val="24"/>
          <w:szCs w:val="24"/>
        </w:rPr>
        <w:t xml:space="preserve">Нумерация подпунктов </w:t>
      </w:r>
      <w:r w:rsidRPr="00CE1395">
        <w:rPr>
          <w:rFonts w:ascii="Times New Roman" w:hAnsi="Times New Roman" w:cs="Times New Roman"/>
          <w:b/>
          <w:i/>
          <w:sz w:val="24"/>
          <w:szCs w:val="24"/>
        </w:rPr>
        <w:t xml:space="preserve">соответствует </w:t>
      </w:r>
      <w:proofErr w:type="gramStart"/>
      <w:r w:rsidRPr="00CE1395">
        <w:rPr>
          <w:rFonts w:ascii="Times New Roman" w:hAnsi="Times New Roman" w:cs="Times New Roman"/>
          <w:b/>
          <w:i/>
          <w:sz w:val="24"/>
          <w:szCs w:val="24"/>
        </w:rPr>
        <w:t>с</w:t>
      </w:r>
      <w:proofErr w:type="gramEnd"/>
      <w:r w:rsidRPr="00CE1395">
        <w:rPr>
          <w:rFonts w:ascii="Times New Roman" w:hAnsi="Times New Roman" w:cs="Times New Roman"/>
          <w:b/>
          <w:i/>
          <w:sz w:val="24"/>
          <w:szCs w:val="24"/>
        </w:rPr>
        <w:t xml:space="preserve"> </w:t>
      </w:r>
      <w:proofErr w:type="gramStart"/>
      <w:r w:rsidRPr="00CE1395">
        <w:rPr>
          <w:rFonts w:ascii="Times New Roman" w:hAnsi="Times New Roman" w:cs="Times New Roman"/>
          <w:b/>
          <w:i/>
          <w:sz w:val="24"/>
          <w:szCs w:val="24"/>
        </w:rPr>
        <w:t>официальному</w:t>
      </w:r>
      <w:proofErr w:type="gramEnd"/>
      <w:r w:rsidRPr="00CE1395">
        <w:rPr>
          <w:rFonts w:ascii="Times New Roman" w:hAnsi="Times New Roman" w:cs="Times New Roman"/>
          <w:b/>
          <w:i/>
          <w:sz w:val="24"/>
          <w:szCs w:val="24"/>
        </w:rPr>
        <w:t xml:space="preserve"> тексту</w:t>
      </w:r>
      <w:r w:rsidRPr="00CE1395">
        <w:rPr>
          <w:rFonts w:ascii="Times New Roman" w:hAnsi="Times New Roman" w:cs="Times New Roman"/>
          <w:b/>
          <w:i/>
          <w:sz w:val="24"/>
          <w:szCs w:val="24"/>
        </w:rPr>
        <w:t xml:space="preserve"> документа</w:t>
      </w:r>
    </w:p>
    <w:p w:rsidR="00414991" w:rsidRPr="00C44A1E" w:rsidRDefault="00414991">
      <w:pPr>
        <w:spacing w:before="28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головная боль;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тахикардия;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кашель, продолжающийся более 3 недель;</w:t>
      </w:r>
    </w:p>
    <w:p w:rsidR="00414991"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 боль в грудной клетке;</w:t>
      </w:r>
    </w:p>
    <w:p w:rsidR="00CE1395" w:rsidRPr="00C44A1E" w:rsidRDefault="00CE1395">
      <w:pPr>
        <w:spacing w:before="220" w:after="1" w:line="220" w:lineRule="atLeast"/>
        <w:ind w:firstLine="540"/>
        <w:jc w:val="both"/>
        <w:rPr>
          <w:rFonts w:ascii="Times New Roman" w:hAnsi="Times New Roman" w:cs="Times New Roman"/>
          <w:sz w:val="24"/>
          <w:szCs w:val="24"/>
        </w:rPr>
      </w:pPr>
    </w:p>
    <w:p w:rsidR="00CE1395" w:rsidRPr="00CE1395" w:rsidRDefault="00CE1395" w:rsidP="00CE1395">
      <w:pPr>
        <w:shd w:val="clear" w:color="auto" w:fill="DBE5F1" w:themeFill="accent1" w:themeFillTint="33"/>
        <w:spacing w:after="1"/>
        <w:rPr>
          <w:rFonts w:ascii="Times New Roman" w:hAnsi="Times New Roman" w:cs="Times New Roman"/>
          <w:b/>
          <w:i/>
          <w:sz w:val="24"/>
          <w:szCs w:val="24"/>
        </w:rPr>
      </w:pPr>
      <w:r w:rsidRPr="00CE1395">
        <w:rPr>
          <w:rFonts w:ascii="Times New Roman" w:hAnsi="Times New Roman" w:cs="Times New Roman"/>
          <w:b/>
          <w:i/>
          <w:sz w:val="24"/>
          <w:szCs w:val="24"/>
        </w:rPr>
        <w:t xml:space="preserve">Нумерация подпунктов соответствует </w:t>
      </w:r>
      <w:proofErr w:type="gramStart"/>
      <w:r w:rsidRPr="00CE1395">
        <w:rPr>
          <w:rFonts w:ascii="Times New Roman" w:hAnsi="Times New Roman" w:cs="Times New Roman"/>
          <w:b/>
          <w:i/>
          <w:sz w:val="24"/>
          <w:szCs w:val="24"/>
        </w:rPr>
        <w:t>с</w:t>
      </w:r>
      <w:proofErr w:type="gramEnd"/>
      <w:r w:rsidRPr="00CE1395">
        <w:rPr>
          <w:rFonts w:ascii="Times New Roman" w:hAnsi="Times New Roman" w:cs="Times New Roman"/>
          <w:b/>
          <w:i/>
          <w:sz w:val="24"/>
          <w:szCs w:val="24"/>
        </w:rPr>
        <w:t xml:space="preserve"> </w:t>
      </w:r>
      <w:proofErr w:type="gramStart"/>
      <w:r w:rsidRPr="00CE1395">
        <w:rPr>
          <w:rFonts w:ascii="Times New Roman" w:hAnsi="Times New Roman" w:cs="Times New Roman"/>
          <w:b/>
          <w:i/>
          <w:sz w:val="24"/>
          <w:szCs w:val="24"/>
        </w:rPr>
        <w:t>официальному</w:t>
      </w:r>
      <w:proofErr w:type="gramEnd"/>
      <w:r w:rsidRPr="00CE1395">
        <w:rPr>
          <w:rFonts w:ascii="Times New Roman" w:hAnsi="Times New Roman" w:cs="Times New Roman"/>
          <w:b/>
          <w:i/>
          <w:sz w:val="24"/>
          <w:szCs w:val="24"/>
        </w:rPr>
        <w:t xml:space="preserve"> тексту документа</w:t>
      </w:r>
    </w:p>
    <w:p w:rsidR="00414991" w:rsidRPr="00C44A1E" w:rsidRDefault="00414991">
      <w:pPr>
        <w:spacing w:before="28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6) локальное поражение органов и систем при ВЛТ [1, 2, 112 - 114].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туберкулезной инфекции (ЛТИ) жалобы обычно отсутствуют.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Рекомендован сбор анамнеза у детей, направленных к врачу-фтизиатру, с целью уточнения степени риска заболевания туберкулезом, включая следующие сведения: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динамика иммунологических тестов по результатам ежегодной массовой иммунодиагностики (регламентирована приказом Министерства здравоохранения Российской Федерации от 11.04.2025 N 190н "Об утверждении порядка и сроков проведения профилактических медицинских осмотров граждан в целях выявления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сведения о вакцинации против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контакт с больными туберкулезом (длительность, периодичность, наличие бактериовыделения, данные ТЛЧ);</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предыдущее лечение у врача-фтизиатра, его контролируемость;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сопутствующая патология с заключением соответствующих специалистов;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длительное лечение какими-либо препаратами;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 обязательным является обследование окружения ребенка на туберкулез - всем членам семьи проводится флюорография (рентгенография) легких;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8) условия проживания ребенка (сопровождение семьи органами опеки, учреждения социального обслуживания, мигранты, вынужденные переселенцы и т.д.) [1, 2, 112 - 114].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Полнота сбора анамнеза позволяет, во-первых, более точно оценить риск заболевания туберкулезом, во-вторых, принять решение о необходимости проведения профилактического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 детей, с подозрением на туберкулез органов дыхания, рекомендуется подробно выяснить все имеющиеся жалобы с целью проведения диагностического минимума обследования для исключения или установления диагноза туберкулеза [2, 112, 115].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клинические проявления туберкулеза органов дыхания чаще всего наблюдаются в виде респираторных жалоб и симптомов интоксикации различной степени выраженности.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 жалобам (симптомам), подозрительным на туберкулез, относят: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Наличие синдрома интоксикации: длительная (более 3-х недель) лихорадка, чаще субфебрильная, нарастающая к вечеру, относительно хорошо переносимая пациентом, иногда непостоянная; общая немотивированная слабость; потливость, преимущественно ночная; потеря аппетита и снижение массы тела.</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2. Наличие респираторной симптоматики: кашель (длительностью более 2 недель) сухой или с небольшим количеством слизистой мокроты без запаха; редко кровохарканье; боль в грудной клетке; одышка (при распространенных и осложненных процессах).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Все указанные симптомы могут быть связаны с другими заболеваниями. При наличии этих жалоб необходимо тщательно собрать анамнез жизни и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сборе анамнеза у детей с жалобами, подозрительными на туберкулез, рекомендуется врачу выяснить наличие контакта с больным туберкулезом (родственники, соседи, друзья и т.д.); уточнить социальный статус семьи, таким образом выявить очаг инфекции или предположить возможность контакта и заражения ребенка МБТ [2, 9, 12].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дети, особенно раннего и младшего возраста, как правило, заболевают туберкулезом, находясь в контакте с больным туберкулезом взрослым или подростком. Заболеваемость туберкулезом детей из очагов инфекции в несколько раз выше, чем в общей популяции.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при подозрении у ребенка туберкулеза из очага туберкулезной инфекции уточнить (запросить) информацию о бактериовыделении и спектре лекарственной устойчивости (ЛУ) возбудителя у предполагаемого источника заражения МБТ ребенка с целью адекватного выбора режима химиотерапии при подтверждении диагноза туберкулеза [11, 115 - 117].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Учитывая, что режимы химиотерапии основаны на лекарственной устойчивости и чувствительности возбудителя, очень важно перед назначением лечения проводить тест на лекарственную чувствительность (ТЛЧ) МБТ. Однако доля детей с бактериовыделением составляет 5 - 6% от пациентов с туберкулезом в возрасте 0 - 14 лет [114]. При этом спектр лекарственной устойчивости МБТ у предполагаемого источника более</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чем в 75% - 80% случаев совпадает со спектром ЛУ у заболевшего из очага ребенка [116, 117, 130, 131], что необходимо выяснять и учитывать при назначении режима химиотерапии (РХТ).</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2.2 Физикальное обследование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 этапе установления диагноза рекомендуется детям с подозрением на туберкулез провести физикальное обследование с целью выявления признаков туберкулезной интоксикации [1, 2,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В целом при туберкулезе состояние детей остается удовлетворительным. При туберкулезе органов дыхания часто отмечается скудность физикальных проявлений поражения легких: нередко перкуторные и аускультативные патологические признаки могут вообще отсутствовать. Однако при распространенных и осложненных процессах возможно снижение тургора кожи и подкожной клетчатки, наличие параспецифических реакций; отмечается бледность кожных покровов и синева под глазами; ослабление перкуторного легочного звука, при аускультации наличие сухих или влажных хрипов (при деструкции легочной ткани, поражении бронхов).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ВЛТ симптомы появляются со стороны пораженного органа (раздел 1.5).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lastRenderedPageBreak/>
        <w:t>2.3 Лабораторные диагностические исследования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Лабораторная диагностика туберкулеза вне зависимости от локализации процесса проводится по единому алгоритму.</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Для лабораторной диагностики туберкулеза органов дыхания используют любой доступный для исследования диагностический материал в соответствии с локализацией процесса: мокрота, плевральная, бронхоальвеолярная жидкости, биоптат бронхо-легочной ткани и др. Больным с подозрением на ВЛТ при соответствующей локализации проводят исследование синовиальной, асцитической жидкостей, осадка мочи, отделяемого из уха, отделяемого свищей, пунктатов, биоптатов, ликвора и др. биологических материалов.</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детям с подозрением на туберкулез на этапе установления диагноза провести клинический лабораторный минимум исследования: общий (клинический) анализ крови, дифференцированный подсчет лейкоцитов (лейкоцитарная формула), анализ крови биохимический общетерапевтический (исследование уровня общего билирубина в крови, определение активности аланинаминотрансферазы в крови (АЛТ), определение активности аспартатаминотрансферазы в крови (АСТ), общий (клинический) анализ мочи, микробиологическое (культуральное) исследование мокроты на микобактерии туберкулеза (Mycobacterium tuberculosis complex</w:t>
      </w:r>
      <w:proofErr w:type="gramEnd"/>
      <w:r w:rsidRPr="00C44A1E">
        <w:rPr>
          <w:rFonts w:ascii="Times New Roman" w:hAnsi="Times New Roman" w:cs="Times New Roman"/>
          <w:sz w:val="24"/>
          <w:szCs w:val="24"/>
        </w:rPr>
        <w:t>) для верификации диагноза и определения тактики ведения пациента [1,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чаще всего, в общем (клиническом) анализе крови и общем (клиническом) анализе мочи изменений не наблюдается. При наличии симптомов интоксикации в общем (клиническом) анализе крови могут быть умеренные воспалительные проявления в виде снижения уровня гемоглобина, повышения уровня лейкоцитов, снижения уровня лимфоцитов. В общем (клиническом) анализе мочи может определяться повышение уровня общего белка, повышенное содержание уровня лейкоцитов и эритроцитов, что является основанием для дополнительного обследования с целью исключения туберкулеза мочеполовой системы.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на этапе лечения проведение динамического обследования с целью контроля переносимости химиотерапии определение уровеня общего билирубина, активности аланинаминотрансферазы (АЛТ) и активности аспартатаминотрансферазы (АСТ) в крови. [1,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Пациентам с подозрением на туберкулез органов дыхания рекомендуется проведение как минимум двукратного проведения микроскопического исследования мокроты на микобактерии (Mycobacterium spp.) или иного диагностического материала (микроскопическое исследование смыва с бронхов или бронхоальвеолярного лаважа на микобактерии туберкулеза (Mycobacterium tuberculosis), микроскопическое исследование плевральной жидкости на Mycobacterium tuberculosis) для подтверждения диагноза туберкулеза [13].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Этот метод является рутинным, дешевым и может быть выполнен в любой медицинской организации. Метод позволяет в случае обнаружения МБТ быстро (в течение 1 - 2 дней) провести дифференциальную диагностику туберкулеза и неспецифического воспалительного заболевания даже в условиях общей лечебной сети и </w:t>
      </w:r>
      <w:r w:rsidRPr="00C44A1E">
        <w:rPr>
          <w:rFonts w:ascii="Times New Roman" w:hAnsi="Times New Roman" w:cs="Times New Roman"/>
          <w:sz w:val="24"/>
          <w:szCs w:val="24"/>
        </w:rPr>
        <w:lastRenderedPageBreak/>
        <w:t>выявлять наиболее эпидемически опасных пациентов с ТБ. В противотуберкулезных учреждениях методы микроскопии в обязательном порядке включают во все схемы обследования пациентов в связи с необходимостью верификации диагноза. Кроме того, этот метод позволяет оценивать массивность бактериовыделения, а также динамику прекращения бактериовыделения, так как микроскопические исследования проводятся на всех этапах диагностики туберкулеза и контроля эффективности химиотерапи [17].</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При наличии мокроты (другого диагностического материала) рекомендуется в комплекс лабораторных исследований детям с подозрением на туберкулез для выявления МБТ и этиологического подтверждения диагноза включать (не менее двух исследований из разных порций): микробиологическое (культуральное) исследование мокроты на микобактерии (Mycobacterium spp.), микробиологическое (культуральное) исследование смыва с бронхов или бронхоальвеолярной жидкости на микобактерии (Mycobacterium spp.), микробиологическое (культуральное) исследование мочи на микобактерии (Mycobacterium spp</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микробиологическое (культуральное) исследование плевральной жидкости на микобактерии (Mycobacterium spp.), микробиологическое (культуральное) исследование кала на микобактерии (Mycobacterium spp.), микробиологическое (культуральное) исследование гнойного отделяемого на микобактерии туберкулеза (Mycobacterium tuberculosis complex), микробиологическое (культуральное) исследование раневого отделяемого на микобактерии туберкулеза (Mycobacterium tuberculosis complex), микробиологическое (культуральное) исследование синовиальной жидкости на микобактерии туберкулеза (Mycobacterium tuberculosis complex), микробиологическое (культуральное) исследование перикардиальной жидкости на микобактерии туберкулеза (Mycobacterium tuberculosis</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complex), микробиологическое (культуральное) исследование отделяемого женских половых органов на микобактерии туберкулеза (Mycobacterium tuberculosis), микробиологическое (культуральное) исследование спинномозговой жидкости на микобактерии туберкулеза (Mycobacterium tuberculosis complex) [1, 8, 84, 85].</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Этиологическая диагностика туберкулеза является основой диагностических мероприятий при туберкулезе. Приоритетным является подтверждение/исключение наличия микобактерий в диагностическом материале методами с максимальной доступной чувствительностью и специфичностью.</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Чтобы минимизировать вероятность расхождения в результатах, полученных разными методами, комплексное исследование должно проводиться из одной пробы диагностического материала.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 детей при туберкулезе органов дыхания доступным диагностическим материалом является мокрота. При отсутствии мокроты или невозможности собрать мокроту (возраст ребенка), могут исследоваться другие виды диагностического материала (промывные воды бронхов, аспирационный материал, браш-биоптат, биоптат, экссудат, у детей младшего возраста - промывные воды желудка, смыв (мазок) с ротоглотки).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Одним из безопасных и эффективных способов получения биологического материала у детей всех возрастных групп является индукция отделения мокроты (раздражающие ингаляции). Для проведения этой процедуры необходимо специальное оборудование и подготовленный персонал [8].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У детей младшего возраста (до 3-х лет) вследствие невозможности собрать мокроту при откашливании и индукции, исследуют промывные воды желудка. Поскольку эта </w:t>
      </w:r>
      <w:r w:rsidRPr="00C44A1E">
        <w:rPr>
          <w:rFonts w:ascii="Times New Roman" w:hAnsi="Times New Roman" w:cs="Times New Roman"/>
          <w:sz w:val="24"/>
          <w:szCs w:val="24"/>
        </w:rPr>
        <w:lastRenderedPageBreak/>
        <w:t>методика связана со значительными неудобствами для пациента, а частота положительных результатов при микроскопии и посеве низкая, то эту процедуру следует применять только при наличии осложненного течения туберкулеза и подозрении на ЛУ МБТ [8].</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Исследование кала на МБТ было включено ВОЗ в список рекомендованных видов образцов для диагностики туберкулеза органов дыхания у детей с помощью молекулярно-биологических методов ([84, 85].</w:t>
      </w:r>
      <w:proofErr w:type="gramEnd"/>
      <w:r w:rsidRPr="00C44A1E">
        <w:rPr>
          <w:rFonts w:ascii="Times New Roman" w:hAnsi="Times New Roman" w:cs="Times New Roman"/>
          <w:sz w:val="24"/>
          <w:szCs w:val="24"/>
        </w:rPr>
        <w:t xml:space="preserve"> Этот метод можно использовать в качестве альтернативного образца, особенно при затруднениях с получением достаточных объемов образцов из дыхательных путей, при осложненных формах легочного туберкулеза (ателектаз, деструкция, диссеминация) для диагностики туберкулеза органов дыхания у детей младшего возраста. В некоторых условиях анализ кала может быть более приемлемым и практически реализуемым, так как метод его забора менее инвазивен, чем получение желудочного аспирата. Дети с туберкулезом органов дыхания проглатывают мокроту с поступающими из легких микобактериями туберкулеза, последние проходят через желудочно-кишечный тракт и поддаются обнаружению в образцах кала.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Пациентам с подозрением на ВЛТ при соответствующей локализации проводят исследование кала, осадка мочи, менструальной крови, отделяемого из уха, отделяемого свищей, пунктатов, биоптатов, ликвора и другого возможного биологического материала.</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у детей с подозрением на туберкулез при наличии мокроты или другого диагностического материала (бронхоальвеолярной жидкости, мочи, плевральной жидкости, кала, гнойного отделяемого, раневого отделяемого, синовиальной жидкости, перикардиальной жидкости, менструальной крови, отделяемого женских половых органов, желчи, спинномозговой жидкости и др.) проводить определение мутаций ассоциированных с лекарственной устойчивостью в ДНК микобактерий туберкулеза (Mycobacterium tuberculosis complex) методом ПЦР в режиме реального времени к</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препаратам первого ряда или определение мутаций ассоциированных с лекарственной устойчивостью в ДНК микобактерий туберкулеза (Mycobacterium tuberculosis complex) методом ПЦР с дальнейшей гибридизацией к препаратам первого ряда с определением мутаций ассоциированных с лекарственной устойчивостью в ДНК микобактерий туберкулеза (Mycobacterium tuberculosis complex) как минимум к рифампицину** с целью верификации диагноза и ЛУ МБТ для назначения адекватного режима химиотерапии (ХТ) [18, 19, 20].</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основное преимущество молекулярно-генетических методов (МГМ) в том, что они являются "быстрыми" и высокочувствительными, позволяющими получить результаты в короткие (1 - 2 дня) сроки, в отличие от культуральных исследований (до 90 дней), а также имеют высокую диагностическую точность (чувствительность - 75%, тогда как микроскопический метод - 50%) [21]. Заключение о наличии МБТ в диагностическом материале делается на основании обнаружения ДНК (дезоксирибонуклеиновой кислоты) МБТ, однако по ДНК нельзя судить о статусе бактериовыделения. Важным достоинством МГМ является быстрое и достоверное выявление у пациентов туберкулеза с множественной лекарственной устойчивостью (МЛУ) МБТ, особенно при высоком уровне распространенности туберкулеза и ВИЧ-инфекции [22].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Использование МГМ для определения ЛУ является первоначальным этапом обследования пациентов и не исключает необходимости применения традиционных культуральных методов исследования лекарственной чувствительности и устойчивости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выполнить микробиологическое (культуральное) исследование для определения чувствительности микобактерий туберкулеза (Mycobacterium tuberculosis complex), выделенных из мокроты или другого диагностического материала, к противотуберкулезным препаратам первого и второго ряда на жидких питательных средах с автоматической детекцией роста для определения тактики лечения [32].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Основным преимуществом культуральных исследований на жидких средах с помощью автоматизированных систем является сокращение сроков диагностики туберкулеза в 2 - 3 раза по сравнению с традиционным методом культивирования на плотных питательных средах. Чувствительность исследований на жидких средах примерно на 10% превышает таковую на плотных питательных средах. Качество исследований обеспечивается высокой эффективностью стандартизованного и сертифицированного по ISO9001 производства реагентов и сред, а также поддержанием стандартных протоколов исследований [29, 30, 87 - 90].</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Приоритетным компонентом комплекса исследования у пациентов с туберкулезом рекомендуется определение мутаций, ассоциированных с лекарственной устойчивостью в ДНК микобактерий туберкулеза (Mycobacterium tuberculosis complex) методом ПЦР в режиме реального времени или методом ПЦР с дальнейшей гибридизацией к препаратам первого ряда - изониазиду** и рифампицину** или, как минимум, к рифампицину**. Исследование выполняется двукратно при отрицательном результате первого исследования, а также при положительном результате и</w:t>
      </w:r>
      <w:proofErr w:type="gramEnd"/>
      <w:r w:rsidRPr="00C44A1E">
        <w:rPr>
          <w:rFonts w:ascii="Times New Roman" w:hAnsi="Times New Roman" w:cs="Times New Roman"/>
          <w:sz w:val="24"/>
          <w:szCs w:val="24"/>
        </w:rPr>
        <w:t xml:space="preserve"> одновременном </w:t>
      </w:r>
      <w:proofErr w:type="gramStart"/>
      <w:r w:rsidRPr="00C44A1E">
        <w:rPr>
          <w:rFonts w:ascii="Times New Roman" w:hAnsi="Times New Roman" w:cs="Times New Roman"/>
          <w:sz w:val="24"/>
          <w:szCs w:val="24"/>
        </w:rPr>
        <w:t>отсутствии</w:t>
      </w:r>
      <w:proofErr w:type="gramEnd"/>
      <w:r w:rsidRPr="00C44A1E">
        <w:rPr>
          <w:rFonts w:ascii="Times New Roman" w:hAnsi="Times New Roman" w:cs="Times New Roman"/>
          <w:sz w:val="24"/>
          <w:szCs w:val="24"/>
        </w:rPr>
        <w:t xml:space="preserve"> клинико-рентгенологических признаков туберкулезного заболевания для определения тактики лечения [18 - 22].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Основное преимущество молекулярно-генетических методов в том, что они являются быстрыми и высокочувствительными, позволяющими получить результаты в короткие (1 - 2 дня) сроки, в отличие от культуральных исследований (10 - 90 дней), а также имеют высокую чувствительность и специфичность. Заключение о наличии МБТ в диагностическом материале делается на основании выявления ДНК МБТ. Положительные результаты молекулярно-генетических методов не определяют статус бактериовыделения, как микроскопические и культуральные методы.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Вывод о лекарственной устойчивости (ЛУ) при использовании МГМ основывается на выявлении мутаций в генах, ассоциированных с ЛУ. Важным достоинством МГМ является быстрое и достоверное выявление у пациентов туберкулеза с МЛУ МБТ, что позволяет разделить потоки пациентов и своевременно назначить режим химиотерапии для лечения МЛУ ТБ. Использование МГМ для определения ЛУ является первоначальным этапом обследования пациентов и не исключает необходимость применения традиционных культуральных методов исследования лекарственной чувствительности (ЛЧ) МБТ [23 - 26, 91 - 92].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определение мутаций, ассоциированных с лекарственной устойчивостью в ДНК микобактерий туберкулеза (Mycobacterium tuberculosis complex) методом ПЦР в режиме реального времени или методом ПЦР с дальнейшей гибридизацией к препаратам второго ряда - лекарственным препаратам группы фторхинолонов для определения тактики лечения [93 - 95].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Комментарии: Лекарственные препараты группы фторхинолонов используются в лечении туберкулеза уже несколько десятилетий, что повлекло за собой формирование и распространение лекарственно устойчивых МБТ к этой группе препаратов [96, 97]. Наличие лекарственной устойчивости возбудителя к фторхинолонам ассоциируется с низкой эффективностью лечения [98]. Определение лекарственной чувствительности МБТ к лекарственным препаратам группы фторхинолонов позволяет своевременно назначить МЛУ, пре-ШЛУ и ШЛУ режим химиотерапии при одновременной устойчивости возбудителя к рифампицину** или усилить режим лечения изониазид-резистентного туберкулеза. Выявление в ДНК МБТ мутаций, ассоциированных с устойчивостью к фторхинолонам, не позволяет дифференцировать устойчивость к препаратам внутри группы. Для назначения режима химиотерапии необходимо проводить тест определения лекарственной чувствительности к каждому из препаратов, применяющихся в клинике, методом пропорций. Для метода абсолютных концентраций критические концентрации </w:t>
      </w:r>
      <w:proofErr w:type="gramStart"/>
      <w:r w:rsidRPr="00C44A1E">
        <w:rPr>
          <w:rFonts w:ascii="Times New Roman" w:hAnsi="Times New Roman" w:cs="Times New Roman"/>
          <w:sz w:val="24"/>
          <w:szCs w:val="24"/>
        </w:rPr>
        <w:t>к</w:t>
      </w:r>
      <w:proofErr w:type="gramEnd"/>
      <w:r w:rsidRPr="00C44A1E">
        <w:rPr>
          <w:rFonts w:ascii="Times New Roman" w:hAnsi="Times New Roman" w:cs="Times New Roman"/>
          <w:sz w:val="24"/>
          <w:szCs w:val="24"/>
        </w:rPr>
        <w:t xml:space="preserve"> современным фторхинолонам не установлены.</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у пациентов с туберкулезом легких при выявлении устойчивости МБТ, как минимум, к рифампицину** молекулярно-генетическим методом и наличии культуры МБТ сразу же выполнять микробиологическое (культуральное) исследование для определения чувствительности микобактерий туберкулеза (Mycobacterium tuberculosis complex) одновременно к ПТП первого и второго ряда, чтобы в максимально короткие сроки получить данные об устойчивости возбудителя к широкому спектру противотуберкулезных препаратов и антибиотиков.</w:t>
      </w:r>
      <w:proofErr w:type="gramEnd"/>
      <w:r w:rsidRPr="00C44A1E">
        <w:rPr>
          <w:rFonts w:ascii="Times New Roman" w:hAnsi="Times New Roman" w:cs="Times New Roman"/>
          <w:sz w:val="24"/>
          <w:szCs w:val="24"/>
        </w:rPr>
        <w:t xml:space="preserve"> Дублирование исследований (к одному и тому же препарату разными культуральными методами) не рекомендуется [32].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Культуральный метод определения лекарственной чувствительности МБТ позволяет определить чувствительность (ЛЧ) к широкому спектру ПТП и назначить индивидуализированную схему лечения в соответствии с полученными результатами. Согласно рекомендациям ВОЗ, для определения ЛЧ МБТ рекомендованы несколько культуральных методов: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модифицированный метод пропорций на жидкой питательной среде в системе с автоматическим учетом роста МБТ для препаратов первого ряда (стрептомицин**, изониазид**, рифампицин**, #этамбутол**, #пиразинамид**) и второго ряда (#левофлоксацин**, #моксифлоксацин**, #этионамид**, #протионамид**, #капреомицин**, #амикацин**, канамицин**, #линезолид**, #деламанид**, #бедаквилин**, #клофазимин, #претоманид**);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метод пропорций на плотной питательной среде Миддлбрука 7H10 и 7H11 для препаратов первого ряда (стрептомицин**, изониазид**, рифампицин**, #этамбутол**) и препаратов второго ряда (#этионамид**, #капреомицин**, канамицин**, #амикацин**, #моксифлоксацин**, #левофлоксацин**, #бедаквилин**, #деламанид**)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метод пропорций на плотной питательной среде Левенштейна-Йенсена для препаратов первого ряда (стрептомицин**, изониазид**, рифампицин**, #этамбутол**) и препаратов второго ряда (#этионамид**, #протионамид**, #капреомицин**, канамицин**, #амикацин**, #левофлоксацин**, #моксифлоксацин**);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Для препаратов второго ряда метод абсолютных концентраций не валидирован. Достаточным основанием для этиологического подтверждения диагноза может быть выявление МБТ хотя бы в одном образце. Тем не </w:t>
      </w:r>
      <w:proofErr w:type="gramStart"/>
      <w:r w:rsidRPr="00C44A1E">
        <w:rPr>
          <w:rFonts w:ascii="Times New Roman" w:hAnsi="Times New Roman" w:cs="Times New Roman"/>
          <w:sz w:val="24"/>
          <w:szCs w:val="24"/>
        </w:rPr>
        <w:t>менее</w:t>
      </w:r>
      <w:proofErr w:type="gramEnd"/>
      <w:r w:rsidRPr="00C44A1E">
        <w:rPr>
          <w:rFonts w:ascii="Times New Roman" w:hAnsi="Times New Roman" w:cs="Times New Roman"/>
          <w:sz w:val="24"/>
          <w:szCs w:val="24"/>
        </w:rPr>
        <w:t xml:space="preserve"> однократное выявление ДНК МБТ без подтверждения микроскопическим или культуральным методами требует осторожной </w:t>
      </w:r>
      <w:r w:rsidRPr="00C44A1E">
        <w:rPr>
          <w:rFonts w:ascii="Times New Roman" w:hAnsi="Times New Roman" w:cs="Times New Roman"/>
          <w:sz w:val="24"/>
          <w:szCs w:val="24"/>
        </w:rPr>
        <w:lastRenderedPageBreak/>
        <w:t>интерпретации положительного результата и согласования с клинико-анамнестическими данными [15, 24, 27 - 33, 15, 27, 28, 29, 30, 31, 32, 33].</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2.4 Инструментальные диагностические исследования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Этиологическая диагностика туберкулеза (верификация диагноза) возможна у ограниченного контингента детей из-за особенностей клинических форм туберкулеза и отсутствия бактериовыделения.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Всем детям с подозрением на туберкулез по клиническим признакам или иммунодиагностическим тестам (положительные пробы с аллергеном туберкулезным рекомбинантным в стандартном разведении** (АТР) или альтернативными тестами (см. ниже) рекомендуется проведение компьютерной томографии органов грудной полости (КТ) для установления или исключения заболевания [8, 13].</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При ВЛТ используют компьютерную томографию органов брюшной полости и забрюшинного пространства, почек и верхних мочевыводящих путей, позвоночника, сустава и других анатомических областей (в зависимости от локализации процесса), в том числе с внутривенным болюсным контрастированием, магнитно-резонансную томографию органов брюшной полости и забрюшинного пространства, почек и верхних мочевыводящих путей и других анатомических областей (в зависимости от локализации процесса), ультразвуковое исследование органов брюшной</w:t>
      </w:r>
      <w:proofErr w:type="gramEnd"/>
      <w:r w:rsidRPr="00C44A1E">
        <w:rPr>
          <w:rFonts w:ascii="Times New Roman" w:hAnsi="Times New Roman" w:cs="Times New Roman"/>
          <w:sz w:val="24"/>
          <w:szCs w:val="24"/>
        </w:rPr>
        <w:t xml:space="preserve"> полости (</w:t>
      </w:r>
      <w:proofErr w:type="gramStart"/>
      <w:r w:rsidRPr="00C44A1E">
        <w:rPr>
          <w:rFonts w:ascii="Times New Roman" w:hAnsi="Times New Roman" w:cs="Times New Roman"/>
          <w:sz w:val="24"/>
          <w:szCs w:val="24"/>
        </w:rPr>
        <w:t>комплексное</w:t>
      </w:r>
      <w:proofErr w:type="gramEnd"/>
      <w:r w:rsidRPr="00C44A1E">
        <w:rPr>
          <w:rFonts w:ascii="Times New Roman" w:hAnsi="Times New Roman" w:cs="Times New Roman"/>
          <w:sz w:val="24"/>
          <w:szCs w:val="24"/>
        </w:rPr>
        <w:t>) и забрюшинного пространства и других анатомических областей, в том числе периферических лимфатических узлов (в зависимости от локализации процесса). При туберкулезе костей и суставов для раннего обнаружения абсцессов, воспалительных и некротических изменений используют магнитно-резонансную томографию костной ткани и суставов [1, 156]. У пациентов с ВЛТ необходимо исключать туберкулез органов дыхания методами лучевой диагностики.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Спиральная компьютерная томография легких (СКТ) является приоритетным методом для подтверждения или исключения туберкулеза органов дыхания у детей, поскольку обладает большей информативностью в сравнении с рентгенографией легких [9, 34].</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Компьютерная томография органов грудной полости проводится всем пациентам с положительными результатами пробы с аллергеном туберкулезным рекомбинантным в стандартном разведении** или альтернативных проб (in vitro), с симптомами, подозрительными на туберкулез независимо от результатов иммунологических тестов; изменениями на цифровой флюорограмме легких или рентгенограмме легких, лихорадящим пациентам с ВИЧ-инфекцией с иммуносупрессией.</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Компьютерная томография органов грудной полости с внутривенным болюсным контрастированием обладает высокой информативностью при выявлении "малых" форм туберкулеза ВГЛУ. Решение о проведении внутривенного контрастирования принимает врач-рентгенолог, обосновывая это решение в протоколе исследования.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Прицельная рентгенография органов грудной клетки (ОГК) может использоваться для диагностики туберкулеза органов дыхания у детей при невозможности проведения КТ. На обзорной рентгенограмме можно обнаружить следующие признаки туберкулеза: увеличение прикорневых лимфатических узлов (широкий, малоструктурный, без четких </w:t>
      </w:r>
      <w:r w:rsidRPr="00C44A1E">
        <w:rPr>
          <w:rFonts w:ascii="Times New Roman" w:hAnsi="Times New Roman" w:cs="Times New Roman"/>
          <w:sz w:val="24"/>
          <w:szCs w:val="24"/>
        </w:rPr>
        <w:lastRenderedPageBreak/>
        <w:t>контуров корень), очаги и участки инфильтрации в легочной ткани, каверны (обычно возникают у детей старшего возраста), тени плеврального или перикардиального выпота;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Детям с туберкулезом органов дыхания при подозрении на поражение бронхов рекомендуется проведение бронхоскопии (трахеобронхоскопии, видеотрахеобронхоскопии) с забором смыва с бронхов или бронхоальвеолярной жидкости для проведения микробиологического (культурального) и молекулярно-биологического исследования на микобактерии туберкулеза (Mycobacterium tuberculosis complex) с целью верификации диагноза [10, 11].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бронхоскопия (трахеобронхоскопия, видеотрахеобронхоскопия) детям проводится в случаях: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наличия клинических симптомов поражения трахеи и бронхов (навязчивый сухой кашель, битональный кашель);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наличия рентгенологических признаков поражения бронхов и нарушения бронхиальной проводимости (гиповентиляция или ателектаз легочной ткани, бронхолегочное поражение, очаги бронхогенного происхождения);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неясный источник бактериовыделения;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дифференциальной диагностики с другими заболеваниями.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Бронхоскопия позволяет получить визуальную информацию о состоянии обследуемого объекта и взять биопсийный материал для микробиологического, цитологического и гистологического исследований.</w:t>
      </w:r>
      <w:proofErr w:type="gramEnd"/>
      <w:r w:rsidRPr="00C44A1E">
        <w:rPr>
          <w:rFonts w:ascii="Times New Roman" w:hAnsi="Times New Roman" w:cs="Times New Roman"/>
          <w:sz w:val="24"/>
          <w:szCs w:val="24"/>
        </w:rPr>
        <w:t xml:space="preserve"> Наиболее часто используются эндоскопические методы с видеосопровождением (бронхоскопия, торакоскопия, медиастиноскопия). В настоящее время чаще проводится видеобронхоскопия - эндоскопическое исследование бронхов. </w:t>
      </w:r>
      <w:proofErr w:type="gramStart"/>
      <w:r w:rsidRPr="00C44A1E">
        <w:rPr>
          <w:rFonts w:ascii="Times New Roman" w:hAnsi="Times New Roman" w:cs="Times New Roman"/>
          <w:sz w:val="24"/>
          <w:szCs w:val="24"/>
        </w:rPr>
        <w:t>Во время диагностической бронхоскопии выполняют осмотр трахеи и крупных бронхов (до сегментарных и субсегментарных включительно), различные биопсии (тканевые и жидкостные) из бронхов разного уровня, легочной ткани и лимфатических узлов средостения.</w:t>
      </w:r>
      <w:proofErr w:type="gramEnd"/>
      <w:r w:rsidRPr="00C44A1E">
        <w:rPr>
          <w:rFonts w:ascii="Times New Roman" w:hAnsi="Times New Roman" w:cs="Times New Roman"/>
          <w:sz w:val="24"/>
          <w:szCs w:val="24"/>
        </w:rPr>
        <w:t xml:space="preserve"> Эндоскопический осмотр трахеи и бронхов у пациентов младшего и среднего возраста проводится в условиях седации, что требует предварительной консультации и сопровождения врача-анестезиолога-реаниматолога. У детей старшего возраста и подростков, при не тяжелом общем состоянии, трахеобронхоскопию рекомендуют проводить с использованием местной анестезии.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 диагностической целью эндоскопические методы могут быть дополнены проведением биопсии. Возможно проведение эндосонографии с пункционной биопсией образований средостения, выполняемой с помощью бронхоскопов с ультразвуковым излучением. Наименее сложными и наиболее безопасными видами биопсий являются аспират из бронхов и щеточная (бра</w:t>
      </w:r>
      <w:proofErr w:type="gramStart"/>
      <w:r w:rsidRPr="00C44A1E">
        <w:rPr>
          <w:rFonts w:ascii="Times New Roman" w:hAnsi="Times New Roman" w:cs="Times New Roman"/>
          <w:sz w:val="24"/>
          <w:szCs w:val="24"/>
        </w:rPr>
        <w:t>ш-</w:t>
      </w:r>
      <w:proofErr w:type="gramEnd"/>
      <w:r w:rsidRPr="00C44A1E">
        <w:rPr>
          <w:rFonts w:ascii="Times New Roman" w:hAnsi="Times New Roman" w:cs="Times New Roman"/>
          <w:sz w:val="24"/>
          <w:szCs w:val="24"/>
        </w:rPr>
        <w:t xml:space="preserve">) биопсия, бронхоальвеолярный лаваж. Материал этих биопсийных манипуляций используется для микробиологических, молекулярно-биологических и цитологических исследований. Трансбронхиальные игловые аспирационные биопсии лимфатических узлов, в том числе под эндоультразвуковым контролем, позволяют получить цитологический/гистологический материал и исследовать его, в том числе на МБТ. Чрезбронхиальная биопсия легкого, особенно выполненная под рентгенологическим контролем, способна обеспечить материал для морфологического и микробиологического исследования. При неэффективости указанных методов, может применяться видеоторакоскопическая или видеоассистированная торакоскопическая </w:t>
      </w:r>
      <w:r w:rsidRPr="00C44A1E">
        <w:rPr>
          <w:rFonts w:ascii="Times New Roman" w:hAnsi="Times New Roman" w:cs="Times New Roman"/>
          <w:sz w:val="24"/>
          <w:szCs w:val="24"/>
        </w:rPr>
        <w:lastRenderedPageBreak/>
        <w:t>биопсия лимфатических узлов, легкого, плевры. В случае тотальной облитерации плевральной полости оправдано проведение открытой биопсии легкого, лимфатических узлов, плевры [99 - 101].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ультразвуковое исследование плевральной </w:t>
      </w:r>
      <w:proofErr w:type="gramStart"/>
      <w:r w:rsidRPr="00C44A1E">
        <w:rPr>
          <w:rFonts w:ascii="Times New Roman" w:hAnsi="Times New Roman" w:cs="Times New Roman"/>
          <w:sz w:val="24"/>
          <w:szCs w:val="24"/>
        </w:rPr>
        <w:t>полости</w:t>
      </w:r>
      <w:proofErr w:type="gramEnd"/>
      <w:r w:rsidRPr="00C44A1E">
        <w:rPr>
          <w:rFonts w:ascii="Times New Roman" w:hAnsi="Times New Roman" w:cs="Times New Roman"/>
          <w:sz w:val="24"/>
          <w:szCs w:val="24"/>
        </w:rPr>
        <w:t xml:space="preserve"> и средостения детям с жалобами на боли в грудной клетке для выявления выпота (экссудата) в плевральную и перикардиальную полости, что в некоторых случаях может иметь значение для диагностики и тактики лечения [69].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у детей с подозрением на внелегочные формы туберкулеза применять клинические и лучевые методы исследования с целью диагностики [1,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Коментарии: клинически оценивают внешний вид пораженного органа, наличие абсцессов, свищей, и др. Базовым методом лучевой оценки является стандартная рентгенография пораженного отдела. Для уточнения диагноза используют специальные методики - рентгенотомографию, КТ, МРТ. Каждый из указанных методов применяют по показаниям в зависимости от локализации процесса и поставленных диагностических задач. При наличии абсцессов, свищей, материала ранее проведенных операций или биопсий проводят бактериологическое, цитологическое и/или гистологическое исследование [1, 2].</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2.5</w:t>
      </w:r>
      <w:proofErr w:type="gramStart"/>
      <w:r w:rsidRPr="00C44A1E">
        <w:rPr>
          <w:rFonts w:ascii="Times New Roman" w:hAnsi="Times New Roman" w:cs="Times New Roman"/>
          <w:b/>
          <w:sz w:val="24"/>
          <w:szCs w:val="24"/>
        </w:rPr>
        <w:t xml:space="preserve"> И</w:t>
      </w:r>
      <w:proofErr w:type="gramEnd"/>
      <w:r w:rsidRPr="00C44A1E">
        <w:rPr>
          <w:rFonts w:ascii="Times New Roman" w:hAnsi="Times New Roman" w:cs="Times New Roman"/>
          <w:b/>
          <w:sz w:val="24"/>
          <w:szCs w:val="24"/>
        </w:rPr>
        <w:t>ные диагностические исследования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2.5.1 Иммунодиагностика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Иммунодиагностика (специфические диагностические тесты с применением антигенов микобактерий туберкулеза) проводится с целью выявления сенсибилизации организма (инфицирования) к микобактериям туберкулеза и является приоритетным методом выявления туберкулезной инфекции у детей.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Основные иммунодиагностические препараты: аллергены бактерий** (аллерген </w:t>
      </w:r>
      <w:proofErr w:type="gramStart"/>
      <w:r w:rsidRPr="00C44A1E">
        <w:rPr>
          <w:rFonts w:ascii="Times New Roman" w:hAnsi="Times New Roman" w:cs="Times New Roman"/>
          <w:sz w:val="24"/>
          <w:szCs w:val="24"/>
        </w:rPr>
        <w:t>туберкулезный</w:t>
      </w:r>
      <w:proofErr w:type="gramEnd"/>
      <w:r w:rsidRPr="00C44A1E">
        <w:rPr>
          <w:rFonts w:ascii="Times New Roman" w:hAnsi="Times New Roman" w:cs="Times New Roman"/>
          <w:sz w:val="24"/>
          <w:szCs w:val="24"/>
        </w:rPr>
        <w:t xml:space="preserve"> очищенный в стандартном разведении**, биологическая активность которого измеряется в туберкулиновых единицах (проба Манту с 2ТЕ) [2]; аллерген туберкулезный рекомбинантный в стандартном разведении** (АТР) (белок CFP-10-ESAT-6 0,2 мкг).</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настоящее время внутрикожная проба с туберкулезным аллергеном (проба Манту с 2ТЕ аллергена туберкулезного очищенного в стандартном разведении**), применяется для выявления инфицирования у детей в возрасте до 7 лет включительно и для отбора лиц на ревакцинацию вакциной для профилактики туберкулеза** (БЦЖ).</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 детей в возрасте от 8 до 17 лет (включительно) проводится внутрикожная проба с туберкулезным аллергеном с аллергеном туберкулезным рекомбинантным в стандартном разведении** (АТР) с целью выявления туберкулеза (скрининг).</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С целью выявления туберкулеза у детей могут учитываться результаты тестов in vitro, основанных на оценке высвобождения Т-лимфоцитами </w:t>
      </w:r>
      <w:proofErr w:type="gramStart"/>
      <w:r w:rsidRPr="00C44A1E">
        <w:rPr>
          <w:rFonts w:ascii="Times New Roman" w:hAnsi="Times New Roman" w:cs="Times New Roman"/>
          <w:sz w:val="24"/>
          <w:szCs w:val="24"/>
        </w:rPr>
        <w:t>гамма-интерферона</w:t>
      </w:r>
      <w:proofErr w:type="gramEnd"/>
      <w:r w:rsidRPr="00C44A1E">
        <w:rPr>
          <w:rFonts w:ascii="Times New Roman" w:hAnsi="Times New Roman" w:cs="Times New Roman"/>
          <w:sz w:val="24"/>
          <w:szCs w:val="24"/>
        </w:rPr>
        <w:t xml:space="preserve"> (IGRA-тесты) &lt;1&gt;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С целью </w:t>
      </w:r>
      <w:proofErr w:type="gramStart"/>
      <w:r w:rsidRPr="00C44A1E">
        <w:rPr>
          <w:rFonts w:ascii="Times New Roman" w:hAnsi="Times New Roman" w:cs="Times New Roman"/>
          <w:sz w:val="24"/>
          <w:szCs w:val="24"/>
        </w:rPr>
        <w:t>формирования групп высокого риска развития туберкулеза</w:t>
      </w:r>
      <w:proofErr w:type="gramEnd"/>
      <w:r w:rsidRPr="00C44A1E">
        <w:rPr>
          <w:rFonts w:ascii="Times New Roman" w:hAnsi="Times New Roman" w:cs="Times New Roman"/>
          <w:sz w:val="24"/>
          <w:szCs w:val="24"/>
        </w:rPr>
        <w:t xml:space="preserve"> и диагностики заболевания применяется АТР** [119, 120, 121] либо альтернативные тесты исследование </w:t>
      </w:r>
      <w:r w:rsidRPr="00C44A1E">
        <w:rPr>
          <w:rFonts w:ascii="Times New Roman" w:hAnsi="Times New Roman" w:cs="Times New Roman"/>
          <w:sz w:val="24"/>
          <w:szCs w:val="24"/>
        </w:rPr>
        <w:lastRenderedPageBreak/>
        <w:t>уровня интерферона-гамма на антигены Mycobacterium tuberculosis complex в крови (IGRA-тесты) [122].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Также применение методов иммунодиагностики может применяться в комплексном обследовании для диагностики туберкулеза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внутрикожной пробы с туберкулезным аллергеном (проба Манту с 2ТЕ аллергена туберкулезного очищеного в стандартном разведении**) детям младше 8 лет с целью выявления туберкулезной инфекции [2, 112].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действие аллергенов бактерий** (аллергена туберкулезного очищенного в стандартном разведении**) основано на выявлении клеточного иммунного ответа на специфические для Mycobacterium tuberculosis антигены. При внутрикожном введении аллергены бактерий** вызывают специфическую кожную реакцию, являющуюся проявлением гиперчувствительности замедленного типа. В условиях обязательной вакцинации вакциной для профилактики туберкулеза**, внутрикожные пробы с туберкулезным аллергеном для определения показателя инфицированности имеют относительное значение. </w:t>
      </w:r>
      <w:proofErr w:type="gramStart"/>
      <w:r w:rsidRPr="00C44A1E">
        <w:rPr>
          <w:rFonts w:ascii="Times New Roman" w:hAnsi="Times New Roman" w:cs="Times New Roman"/>
          <w:sz w:val="24"/>
          <w:szCs w:val="24"/>
        </w:rPr>
        <w:t>Положительные реакции на внутрикожную пробу с туберкулезным аллергеном могут быть обусловлены предшествующей вакцинацией вакциной для профилактики туберкулеза**. В связи со сложностью, а иногда и невозможностью на первых этапах наблюдения, дифференциальной диагностики инфекционной и поствакцинальной аллергии, инфицированность туберкулезом у детей устанавливают ретроспективно при сопоставлении реакций на внутрикожную пробу с туберкулезным аллергеном на протяжении ряда лет с учетом ревакцинации вакциной для профилактики</w:t>
      </w:r>
      <w:proofErr w:type="gramEnd"/>
      <w:r w:rsidRPr="00C44A1E">
        <w:rPr>
          <w:rFonts w:ascii="Times New Roman" w:hAnsi="Times New Roman" w:cs="Times New Roman"/>
          <w:sz w:val="24"/>
          <w:szCs w:val="24"/>
        </w:rPr>
        <w:t xml:space="preserve">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прием (осмотр, консультация) врача-фтизиатра детям с положительной реакцией на внутрикожную пробу с туберкулезным аллергеном с аллергенами бактерий**, после исключения поствакцинального характера реакции с целью решения следующих задач [1, 2, 112, 113, 114, 124 - 128]: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наличие инфицирования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наличие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формирование групп риска по заболеванию туберкулезом с целью мониторинга туберкулезной инфекции (ТИ) и ранней диагностики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положительной реакции на внутрикожную пробу с туберкулезным аллергеном с аллергенами бактерий**, не связанной с вакцинацией, необходимо проведение внутрикожной пробы с туберкулезным аллергеном с АТР** или теста-</w:t>
      </w:r>
      <w:proofErr w:type="gramStart"/>
      <w:r w:rsidRPr="00C44A1E">
        <w:rPr>
          <w:rFonts w:ascii="Times New Roman" w:hAnsi="Times New Roman" w:cs="Times New Roman"/>
          <w:sz w:val="24"/>
          <w:szCs w:val="24"/>
        </w:rPr>
        <w:t>IGRA</w:t>
      </w:r>
      <w:proofErr w:type="gramEnd"/>
      <w:r w:rsidRPr="00C44A1E">
        <w:rPr>
          <w:rFonts w:ascii="Times New Roman" w:hAnsi="Times New Roman" w:cs="Times New Roman"/>
          <w:sz w:val="24"/>
          <w:szCs w:val="24"/>
        </w:rPr>
        <w:t xml:space="preserve"> для исключения активной туберкулезной инфекции и дальнейшей тактики обследования и ведения.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детям в возрасте от 0 до 7 лет с измененной чувствительностью к аллергенам бактерий** (впервые положительная реакция на внутрикожную пробу с туберкулезным аллергеном с применением аллергена бактерий** (Манту с 2 ТЕ) ("вираж"), нарастание реакции на внутрикожную пробу с туберкулезным аллергеном с аллергенами бактерий** (пробу Манту с 2 ТЕ), гиперергическая реакция на внутрикожную пробу с туберкулезным аллергеном с аллергенами бактерий</w:t>
      </w:r>
      <w:proofErr w:type="gramEnd"/>
      <w:r w:rsidRPr="00C44A1E">
        <w:rPr>
          <w:rFonts w:ascii="Times New Roman" w:hAnsi="Times New Roman" w:cs="Times New Roman"/>
          <w:sz w:val="24"/>
          <w:szCs w:val="24"/>
        </w:rPr>
        <w:t xml:space="preserve">** и установленным фактом первичного туберкулезного инфицирования дальнейший скрининг </w:t>
      </w:r>
      <w:r w:rsidRPr="00C44A1E">
        <w:rPr>
          <w:rFonts w:ascii="Times New Roman" w:hAnsi="Times New Roman" w:cs="Times New Roman"/>
          <w:sz w:val="24"/>
          <w:szCs w:val="24"/>
        </w:rPr>
        <w:lastRenderedPageBreak/>
        <w:t>на туберкулезную инфекцию проводить с применением внутрикожной пробы с туберкулезным аллергеном с АТР** с целью раннего выявления латентной туберкулезной инфекции [34, 123, 124, 137 - 139].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w:t>
      </w:r>
      <w:proofErr w:type="gramStart"/>
      <w:r w:rsidRPr="00C44A1E">
        <w:rPr>
          <w:rFonts w:ascii="Times New Roman" w:hAnsi="Times New Roman" w:cs="Times New Roman"/>
          <w:sz w:val="24"/>
          <w:szCs w:val="24"/>
        </w:rPr>
        <w:t>Отсутствие необходимости отбора на ревакцинацию против туберкулеза детей с установленным фактом инфекционной аллергии делает проведение внутрикожной пробы с туберкулезным аллергеном с применением аллергена бактерий** в возрасте от 0 до 7 лет нецелесообразным, с целью дальнейшего скрининга туберкулезной инфекции возможна постановка внутрикожной пробы с туберкулезным аллергеном с АТР**;</w:t>
      </w:r>
      <w:proofErr w:type="gramEnd"/>
      <w:r w:rsidRPr="00C44A1E">
        <w:rPr>
          <w:rFonts w:ascii="Times New Roman" w:hAnsi="Times New Roman" w:cs="Times New Roman"/>
          <w:sz w:val="24"/>
          <w:szCs w:val="24"/>
        </w:rPr>
        <w:t xml:space="preserve"> могут учитываться результаты тестов in vitro, основанных на оценке высвобождения Т-лимфоцитами </w:t>
      </w:r>
      <w:proofErr w:type="gramStart"/>
      <w:r w:rsidRPr="00C44A1E">
        <w:rPr>
          <w:rFonts w:ascii="Times New Roman" w:hAnsi="Times New Roman" w:cs="Times New Roman"/>
          <w:sz w:val="24"/>
          <w:szCs w:val="24"/>
        </w:rPr>
        <w:t>гамма-интерферона</w:t>
      </w:r>
      <w:proofErr w:type="gramEnd"/>
      <w:r w:rsidRPr="00C44A1E">
        <w:rPr>
          <w:rFonts w:ascii="Times New Roman" w:hAnsi="Times New Roman" w:cs="Times New Roman"/>
          <w:sz w:val="24"/>
          <w:szCs w:val="24"/>
        </w:rPr>
        <w:t xml:space="preserve"> (IGRA-тесты), проведенных с целью скрининга (установления) туберкулезной инфекции.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внутрикожной пробы с туберкулезным аллергеном (АТР**) детям с 8 до 17 лет включительно с целью выявления лиц с риском заболевания туберкулезом [114, 115, 116, 117, 118, 125, 128 - 132, 140].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Отсутствие необходимости отбора детей старше 7 лет на ревакцинацию против туберкулеза и большая частота наличия у детей положительных реакции на внутрикожную пробу с туберкулезным аллергеном с применением аллергена бактерий** делают ее проведение в данной возрастной группе нецелесообразной. АТР в стандартном разведении** представляет собой рекомбинантный белок pCFP-ESAT, разведенный в стерильном изотоническом фосфатном буферном растворе, с консервантом (фенол). </w:t>
      </w:r>
      <w:proofErr w:type="gramStart"/>
      <w:r w:rsidRPr="00C44A1E">
        <w:rPr>
          <w:rFonts w:ascii="Times New Roman" w:hAnsi="Times New Roman" w:cs="Times New Roman"/>
          <w:sz w:val="24"/>
          <w:szCs w:val="24"/>
        </w:rPr>
        <w:t>Содержит два компонента, присутствующие в вирулентных штаммах микобактерий туберкулеза и отсутствующие в вакцинном штамме вакцины для профилактики туберкулеза** (Регистрационный номер:</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ЛСР-006435-08.).</w:t>
      </w:r>
      <w:proofErr w:type="gramEnd"/>
      <w:r w:rsidRPr="00C44A1E">
        <w:rPr>
          <w:rFonts w:ascii="Times New Roman" w:hAnsi="Times New Roman" w:cs="Times New Roman"/>
          <w:sz w:val="24"/>
          <w:szCs w:val="24"/>
        </w:rPr>
        <w:t xml:space="preserve"> Действие препарата АТР** основано на выявлении иммунного ответа на специфические для Mycobacterium tuberculosis антигены. При внутрикожном введении АТР** вызывает у лиц с туберкулезной инфекцией специфическую кожную реакцию, являющуюся проявлением гиперчувствительности замедленного типа. Техника постановки внутрикожной пробы с АТР** идентична постановке внутрикожной пробы с туберкулезным аллергеном с применением аллергена бактерий**. Интерпретация результатов реакции на пробу АТР** осуществляется в соответствии с инструкцией к препарату.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Внутрикожная проба с туберкулезным аллергеном с АТР** рекомендуется как основной метод для выявления детей на ранних стадиях активного туберкулезного процесса и детей с высоким риском развития заболевания [78, 115, 126, 141, 142, 143].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Комментарии: внутрикожная проба с туберкулезным аллергеном с АТР** обладает: 1) максимально высокой чувствительностью (98 - 100%) - частота положительных реакций у лиц, больных туберкулезом с активным процессом; 2) максимально высокой специфичностью (90 - 100%) - частота отрицательных реакций у лиц, не инфицированных M. tuberculosis, излеченных от туберкулеза; 3) отсутствием развития положительной реакции, связанной с вакцинацией вакциной для профилактики туберкулеза**;</w:t>
      </w:r>
      <w:proofErr w:type="gramEnd"/>
      <w:r w:rsidRPr="00C44A1E">
        <w:rPr>
          <w:rFonts w:ascii="Times New Roman" w:hAnsi="Times New Roman" w:cs="Times New Roman"/>
          <w:sz w:val="24"/>
          <w:szCs w:val="24"/>
        </w:rPr>
        <w:t xml:space="preserve"> 4) минимальной частотой проявлений неспецифической аллергии; 5) минимальной частотой избыточно сильных реакций.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детям с подозрением на туберкулез по клинико-рентгенологическим признакам проведение внутрикожной пробы с туберкулезным аллергеном с АТР** и/или альтернативных тестов in vitro - IGRA-тестов с целью диагностики [13, 120].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исследование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в крови в ответ на воздействие специфических туберкулезных антигенов детям с аллергическими, аутоиммунными заболеваниями с целью выявления туберкулезной инфекции и исключения влияния неспецифической аллергии на результат кожных проб с туберкулезными антигенами [102 - 105].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Разработаны диагностические тесты in vitro или IGRA-тесты (Interferon Gamma Release Assay), основанные на высвобождении ИФН-гамма под воздействием специфических туберкулезных антигенов CFP-10/ESAT-6 и др. К ним относятся: набор реагентов для in vitro диагностики туберкулезной инфекции методом ELISPOT и ELISA; Пробы на высвобождение ИФН-гамма имеют высокое прогностическое значение: лица с положительными результатами заболевают в течение двух последующих лет гораздо чаще, чем туберкулиноположительные. Это является аргументом для первоочередного проведения у лиц с положительными результатами этих проб превентивной химиотерапии [21 - 24]. Проведение данных тестов in vitro не предполагает введение лекарственных препаратов в организм ребенка, что полностью исключает, во-первых, возможность нежелательных явлений в виде аллергических реакций у лиц, имеющих отягощенный аллергологический анамнез, во-вторых, затруднения при интерпретации результатов теста у лиц с кожными проявлениями аллергических заболеваний и состояний.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Положительный результат внутрикожной пробы с туберкулезным аллергеном с АТР** и/или in vitro свидетельствует в пользу активно метаболизирующей популяции МБТ (размножающихся), что требует более тщательного обследования в плане исключения локальной формы туберкулеза, в частности, выполнение СКТ органов грудной клетки [36].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Необходимо учитывать, что иммунологические диагностические тесты у детей с ВИЧ-инфекцией при количестве CD4-лимфоцитов менее 350 - 200 клеток/мкл не могут быть информативным методом диагностики туберкулеза, поскольку практически в 90 - 95% случаев дают отрицательный результат при установленном диагнозе туберкулеза [38, 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исследование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в крови в ответ на воздействие специфических туберкулезных антигенов методом ELISPOT детям с иммунодефицитами различного генеза (в том числе на фоне ВИЧ-инфекции) с целью выявления туберкулезной инфекции [137].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Внутрикожные пробы для диагностики туберкулезной инфекции на фоне иммунодефицитных состояний с поражением клеточного звена иммунитета клинической значимости не имеют в соответствии с патогенезом аллергии замедленного типа при туберкулезной инфекции. Исследование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на антигены Mycobacterium tuberculosis complex в крови методом ELISPOT не зависят от </w:t>
      </w:r>
      <w:r w:rsidRPr="00C44A1E">
        <w:rPr>
          <w:rFonts w:ascii="Times New Roman" w:hAnsi="Times New Roman" w:cs="Times New Roman"/>
          <w:sz w:val="24"/>
          <w:szCs w:val="24"/>
        </w:rPr>
        <w:lastRenderedPageBreak/>
        <w:t>иммуносупрессии, вследствие чего имеют доказанные преимущества перед остальными тестами у лиц с иммунодефицитными заболеваниями и состояниями.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&lt;1&gt; Приказ Министерства здравоохранения Российской Федерации от 11.04.2025 N 190н "Об утверждении порядка и сроков проведения профилактических медицинских осмотров граждан в целях выявления туберкулеза"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2.5.2. Дополнительные исследования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В редких случаях детям с отрицательными иммунодиагностическими пробами, отсутствием бактериовыделения, рентгенологически с патологическими образованиями грудной полости, которые не удается диагностировать комплексным обследованием пациента, рекомендуется проведение биопсии (биопсия трахеи, бронхов, легких при бронхоскопии, трансторакальная биопсия легкого, открытая биопсия легкого, биопсия плевры, биопсия лимфатического узла с использованием видеоэндоскопических технологий) и последующего проведения патолого-анатомического исследования биопсийного (операционного) материала тканей трахеи и бронхов, легкого</w:t>
      </w:r>
      <w:proofErr w:type="gramEnd"/>
      <w:r w:rsidRPr="00C44A1E">
        <w:rPr>
          <w:rFonts w:ascii="Times New Roman" w:hAnsi="Times New Roman" w:cs="Times New Roman"/>
          <w:sz w:val="24"/>
          <w:szCs w:val="24"/>
        </w:rPr>
        <w:t xml:space="preserve"> (в т.ч., с применением иммуногистохимических методов) с целью верификации диагноза [69].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Морфологическая верификация диагноза рекомендована в случаях дифференциальной диагностики туберкулеза и пролиферативных процессов в лимфатических узлах средостения или легочной ткани.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Детям с жалобами на снижение слуха и перенесенном </w:t>
      </w:r>
      <w:proofErr w:type="gramStart"/>
      <w:r w:rsidRPr="00C44A1E">
        <w:rPr>
          <w:rFonts w:ascii="Times New Roman" w:hAnsi="Times New Roman" w:cs="Times New Roman"/>
          <w:sz w:val="24"/>
          <w:szCs w:val="24"/>
        </w:rPr>
        <w:t>отите</w:t>
      </w:r>
      <w:proofErr w:type="gramEnd"/>
      <w:r w:rsidRPr="00C44A1E">
        <w:rPr>
          <w:rFonts w:ascii="Times New Roman" w:hAnsi="Times New Roman" w:cs="Times New Roman"/>
          <w:sz w:val="24"/>
          <w:szCs w:val="24"/>
        </w:rPr>
        <w:t xml:space="preserve"> в анамнезе перед включением в схему химиотерапии инъекционных препаратов рекомендуется прием (осмотр, консультация) врача-оториноларинголога с проведением тональной и/или речевой аудиометрии с целью возможности или невозможности их назначения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речевая аудиометрия показана всем пациентам с нарушением слуха и заболеваниями органов слуха для решения вопроса возможности включения в схему химиотерапии (ХТ) аминогликозидов (#амикацин**, канамицин**) и полипептидов (#капреомицин**), так как эти препараты могут вызывать снижение слуха (инструкция к препаратам). При выявлении патологических состояний инъекционные препараты не включают в схему ХТ.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Перед включением в схему ХТ #этамбутола** (до 13 лет, (см. таблицу 9, Приложение А3)), этамбутола** (13 лет и старше) детям рекомендуется прием (осмотр, консультация) врача-офтальмолога с целью исключения патологии со стороны глаз и отсутствия противопоказаний для его назначения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Заболевания глаз со снижением остроты зрения являются противопоказанием для назначения противотуберкулезного препарата #этамбутола** (инструкция к препарату).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В процессе лечения детям с туберкулезом органов дыхания рекомендуется с целью мониторинга эффективности и переносимости противотуберкулезных и </w:t>
      </w:r>
      <w:r w:rsidRPr="00C44A1E">
        <w:rPr>
          <w:rFonts w:ascii="Times New Roman" w:hAnsi="Times New Roman" w:cs="Times New Roman"/>
          <w:sz w:val="24"/>
          <w:szCs w:val="24"/>
        </w:rPr>
        <w:lastRenderedPageBreak/>
        <w:t>антибактериальных препаратов системного действия выполнять контрольные исследования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Во время химиотерапии для предотвращения развития неблагоприятных побочных реакций проводят клинический, лабораторный и инструментальный мониторинг: общий (клинический) анализ крови, общий (клинический) анализ мочи, анализ крови биохимический общетерапевтический; регистрация электрокардиограммы, рентгенография легких и компьютерная томография органов грудной полости [13, 44, 83]. Кратность исследований - Приложение</w:t>
      </w:r>
      <w:proofErr w:type="gramStart"/>
      <w:r w:rsidRPr="00C44A1E">
        <w:rPr>
          <w:rFonts w:ascii="Times New Roman" w:hAnsi="Times New Roman" w:cs="Times New Roman"/>
          <w:sz w:val="24"/>
          <w:szCs w:val="24"/>
        </w:rPr>
        <w:t xml:space="preserve"> Б</w:t>
      </w:r>
      <w:proofErr w:type="gramEnd"/>
      <w:r w:rsidRPr="00C44A1E">
        <w:rPr>
          <w:rFonts w:ascii="Times New Roman" w:hAnsi="Times New Roman" w:cs="Times New Roman"/>
          <w:sz w:val="24"/>
          <w:szCs w:val="24"/>
        </w:rPr>
        <w:t>, таблица 11</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3.1. Химиотерапия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Химиотерапия - основной метод лечения туберкулеза, заключающийся в длительном назначении лекарственных средств вне зависимости от локализации процесса, направленных на подавление размножения МБТ (бактериостатический эффект) или уничтожение МБТ в организме пациента (бактерицидный эффект).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Лечение ВЛТ осуществляется по тем же приниципам, что и туберкулез органов дыхания.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Режим химиотерапии - это комбинация противотуберкулезных препаратов и антибактериальных препаратов системного действия, длительность и кратность их приема, сроки и содержание контрольных исследований, а также организационные формы проведения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Режим химиотерапии (РХТ) определяется на основании результатов определения лекарственной чувствительности микобактерий туберкулеза, выделенных из патологического материала, или данными анамнеза при их отсутствии [13, 19, 44, 25, 40,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Противотуберкулезные препараты и антибактериальные препараты системного действия назначают в терапевтических дозах, соответствующих возрасту и массе тела ребенка (Приложение А3, таблица 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Химиотерапия (ХТ) проводится в 2 фазы: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фаза интенсивной терапии - ХТ направлена на ликвидацию клинических проявлений заболевания, максимальное воздействие на популяцию МБТ с целью прекращения размножения микобактерий и предотвращения развития лекарственной устойчивости, уменьшения инфильтративных и деструктивных изменений;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фаза продолжения лечения - ХТ направлена на подавление сохраняющейся микобактериальной популяции, обеспечивает дальнейшее уменьшение воспалительных изменений и инволюцию туберкулезного процесса, а также восстановление функциональных возможностей организма.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Лекарственные препараты, применяемые при химиотерапии туберкулеза, подразделяют </w:t>
      </w:r>
      <w:proofErr w:type="gramStart"/>
      <w:r w:rsidRPr="00C44A1E">
        <w:rPr>
          <w:rFonts w:ascii="Times New Roman" w:hAnsi="Times New Roman" w:cs="Times New Roman"/>
          <w:sz w:val="24"/>
          <w:szCs w:val="24"/>
        </w:rPr>
        <w:t>на</w:t>
      </w:r>
      <w:proofErr w:type="gramEnd"/>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1. противотуберкулезные препараты первого ряда (основные, препараты выбора для лечения туберкулеза, вызванного лекарственно чувствительными микобактериями):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изониазид** (в соответствии с инструкцией по применению препарата),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рифампицин** (в соответствии с инструкцией по применению препарата), рифапентин применяется с 12 лет в капсулах 10 мг/кг массы тела 2 - 3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(см. таблицу 9, Приложение А3);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пиразинамид** - применяется в таблетках с 3-х лет в соответствии с инструкцией по применению препарата, 15 - 20 мг/кг;</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этамбутол** - применяется с 13 лет 15 - 25 мг/кг/сут в соответствии с инструкцией (см. таблицу 9, Приложение А3), (способ применения рифапентина**, пиразинамида**, этамбутола** доза препаратов и длительность их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2. противотуберкулезные препараты второго ряда (резервные, препараты выбора для лечения туберкулеза с МЛУ МБТ): канамицин**, #амикацин**, #капреомицин**, #левофлоксацин**, #моксифлоксацин**, #линезолид**, #бедаквилин** #деламанид**, #протионамид**, #этионамид**, #циклосерин** #теризидон**, аминосалициловая кислота**; #клофазимин, #претоманид (способ применения #бедаквилина**, #деламанида**, #теризидона**, #клофазимина и #претоманида доза препаратов и длительность их применения у детей см. в Приложении А3, таблица 9);</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другие противотуберкулезные препараты и антибактериальные препараты системного действия, рекомендованные для лечения туберкулеза с МЛУ/ШЛУ в случаях невозможности формирования режима химиотерапии </w:t>
      </w:r>
      <w:proofErr w:type="gramStart"/>
      <w:r w:rsidRPr="00C44A1E">
        <w:rPr>
          <w:rFonts w:ascii="Times New Roman" w:hAnsi="Times New Roman" w:cs="Times New Roman"/>
          <w:sz w:val="24"/>
          <w:szCs w:val="24"/>
        </w:rPr>
        <w:t>из</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минимум</w:t>
      </w:r>
      <w:proofErr w:type="gramEnd"/>
      <w:r w:rsidRPr="00C44A1E">
        <w:rPr>
          <w:rFonts w:ascii="Times New Roman" w:hAnsi="Times New Roman" w:cs="Times New Roman"/>
          <w:sz w:val="24"/>
          <w:szCs w:val="24"/>
        </w:rPr>
        <w:t xml:space="preserve"> четырех эффективных препаратов: #имипенем+[Циластатин]**, #меропенем**, #амоксициллин+клавулановая кислота** (способ применения, доза препарата и длительность его применения у детей см. в Приложении А3, табл.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сводных руководствах ВОЗ по лечению лекарственно-устойчивого туберкулеза препараты для лечения МЛУ ТБ разделены на три (A, B, C) группы по их вероятной эффективности и безопасности [47,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Группа A: #левофлоксацин**/#моксифлоксацин**, #бедаквилин**, #линезолид**;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Группа B: #циклосерин**/#теризидон**; #клофазимин (#клофазимин - противолепрозный препарат, мало изучен у детей при лечении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Группа C: #этамбутол**, #пиразинамид**, #деламанид**, #имипенем+[Циластатин]**, #меропенем**, #амикацин** #этионамид**#/протионамид**, аминосалициловая кислота**. Группа A: Препараты признаны высокоэффективными, безопасными и настоятельно рекомендованы для включения во все режимы ХТ для лечения МЛУ ТБ, если они не противопоказаны;</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Группа B: условно рекомендованы в качестве препаратов второго выбора для формирования полноценной схемы ТХ;</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Группа C: все другие препараты, которые могут быть использованы, когда режим ХТ не может быть составлен из препаратов группы A и B.</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Химиотерапию при туберкулезе назначают по следующим режимам (Приложение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режим лечения лекарственно-чувствительного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режим лечения изониазид-устойчивого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режим лечения МЛУ 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режим лечения пре-ШЛУ 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режим лечения ШЛУ 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Режимы ХТ: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начинать химиотерапию туберкулеза в максимально ранние сроки после установления и верификации диагноза для улучшения результатов лечения [20, 30, 66];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достижения клинического излечения назначение режима химиотерапии лекарственно-чувствительного туберкулеза пациентам с установленным диагнозом при наличии или отсутствии бактериовыделения [13, 41, 42,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наличии бактериовыделения: с установленной чувствительностью МБТ к изониазиду** и рифампицину** (или только к рифампицину** при отсутствии результатов лекарственной устойчивости (ЛУ) к изониазиду** до получения результатов определения лекарственной чувствительности возбудителя);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без наличия бактериовыделения: при отсутствии клинически установленной МЛУ МБТ, пре-ШЛУ МБТ, ШЛУ МБТ.</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Лечению по РХТ лекарственно-чувствительного туберкулеза подлежат следующие группы пациентов:</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пациенты с впервые выявленным туберкулезом с бактериовыделением по методу микроскопии или посева до получения результатов теста лекарственной чувствительности (ЛЧ) возбудителя без клинически установленного МЛУ ТБ;</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пациенты с рецидивом туберкулеза с бактериовыделением до получения результатов теста лекарственной чувствительности, если во время предыдущего курса лечения чувствительность МБТ к изониазиду** и рифампицину** была сохранена или не определялась;</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пациенты с установленной чувствительностью МБТ к изониазиду** и рифампицину** (по данным теста лекарственной чувствительности от начала настоящего курса химиотерапии или данных молекулярно-генетического метода до получения результатов определения лекарственной чувствительности возбудителя культуральным методом на жидких или плотных питательных средах);</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пациенты без бактериовыделения и </w:t>
      </w:r>
      <w:proofErr w:type="gramStart"/>
      <w:r w:rsidRPr="00C44A1E">
        <w:rPr>
          <w:rFonts w:ascii="Times New Roman" w:hAnsi="Times New Roman" w:cs="Times New Roman"/>
          <w:sz w:val="24"/>
          <w:szCs w:val="24"/>
        </w:rPr>
        <w:t>без</w:t>
      </w:r>
      <w:proofErr w:type="gramEnd"/>
      <w:r w:rsidRPr="00C44A1E">
        <w:rPr>
          <w:rFonts w:ascii="Times New Roman" w:hAnsi="Times New Roman" w:cs="Times New Roman"/>
          <w:sz w:val="24"/>
          <w:szCs w:val="24"/>
        </w:rPr>
        <w:t xml:space="preserve"> клинически установленного МЛУ-ТБ (из контакта с чувствительность МБТ к изониазиду** и рифампицину** у источника, или ЛЧ не определялась);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при установлении ЛУ возбудителя к изониазиду** и/или рифампицину** вне зависимости от длительности лечения по режиму химиотерапии </w:t>
      </w:r>
      <w:r w:rsidRPr="00C44A1E">
        <w:rPr>
          <w:rFonts w:ascii="Times New Roman" w:hAnsi="Times New Roman" w:cs="Times New Roman"/>
          <w:sz w:val="24"/>
          <w:szCs w:val="24"/>
        </w:rPr>
        <w:lastRenderedPageBreak/>
        <w:t>туберкулеза с лекарственной чувствительностью возбудителя, смена режима ХТ у пациентов с туберкулезом в соответствии с результатом определения лекарственной чувствительности возбудителя для повышения эффективности лечения [42, 56].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Комментарии: при установленной ЛУ возбудителя к изониазиду** и сохранении чувствительности к рифампицину** назначают РХТ изониазид-устойчивого туберкулеза; при установленной устойчивости возбудителя к рифампицину** и изониазиду** или только к рифампицину**, но сохранении лекарственной чувствительности к любому препарату группы фторхинолонов, назначают РХТ туберкулеза с множественной лекарственной устойчивостью МБТ МЛУ ТБ;</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при установленной лекарственной устойчивости возбудителя к изониазиду**, рифампицину**, любому препарату группы фторхинолонов назначают курс лечения по РХТ пре-ШЛУ ТБ; при лекарственной устойчивости МБТ к рифампицину** и изониазиду** или только к рифампицину** в сочетании с ЛУ к фторхинолонам и любому другому препарату группы A (#бедаквилин**, #линезолид**) назначают курс лечения по РХТ ШЛУ ТБ (см. раздел по лечению лекарственно-устойчивого ТБ).</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назначение режима химиотерапии изониазид-устойчивого туберкулеза у пациентов с установленной молекулярно-генетическими и/или микробиологическими (культуральными) методами устойчивостью возбудителя только к изониазиду** или к изониазиду** в сочетании с другими противотуберкулезными препаратами, при сохранении лекарственной чувствительности к рифампицину**, подтвержденной результатами культурального исследования или двукратными результатами молекулярно-генетического исследования для улучшения результатов лечения [43,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назначение режима химиотерапии туберкулеза с множественной лекарственной устойчивостью (МЛУ/РУ-ТБ) пациентам с установленной ЛУ возбудителя к изониазиду** и/или рифампицину** (HR; R) и чувствительностью к препаратам группы фторхинолонов при неизвестной ЛЧ к другим противотуберкулезным лекарственным препаратам, а также пациентам </w:t>
      </w:r>
      <w:proofErr w:type="gramStart"/>
      <w:r w:rsidRPr="00C44A1E">
        <w:rPr>
          <w:rFonts w:ascii="Times New Roman" w:hAnsi="Times New Roman" w:cs="Times New Roman"/>
          <w:sz w:val="24"/>
          <w:szCs w:val="24"/>
        </w:rPr>
        <w:t>с</w:t>
      </w:r>
      <w:proofErr w:type="gramEnd"/>
      <w:r w:rsidRPr="00C44A1E">
        <w:rPr>
          <w:rFonts w:ascii="Times New Roman" w:hAnsi="Times New Roman" w:cs="Times New Roman"/>
          <w:sz w:val="24"/>
          <w:szCs w:val="24"/>
        </w:rPr>
        <w:t xml:space="preserve"> клинически установленным МЛУ-ТБ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Критериями клинически установленного МЛУ ТБ у детей считают: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заболевшие из достоверного контакта с больным туберкулезом с МЛУ-ТБ (МЛУ МБТ у вероятного источника заражения должно быть документировано);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 предполагаемого источника заражения хронический деструктивный легочный процесс (фиброзно-кавернозный туберкулез), или ранее было 2 и более неэффективных курсов химиотерапии при отсутствии данных по ЛУ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рецидив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другие случаи повторного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появление отрицательной клинико-рентгенологической динамики у пациента на фоне лечения по РХТ для лекарственно-чувствительного туберкулеза при отсутствии бактериовыделения и невозможности определения ЛЧ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(дозы препаратов представлены в таблице 8 приложении А3).</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назначение пре-ШЛУ режима химиотерапии пациентам с МЛУ-ТБ и дополнительной устойчивостью к фторхинолонам и чувствительностью к другим препаратам группы A (или неизвестной ЛЧ к препаратам группы A), а также из контакта с больным с установленной пре-ШЛУ МБТ для улучшения результата лечения [13, 44, 83,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для достижения бактерицидного эффекта и улучшения результатов лечения назначение ШЛУ режима химиотерапии пациентам с туберкулезом органов дыхания, с установленной лекарственной устойчивостью возбудителя к изониазиду** и рифампицину** в сочетании с установленной устойчивостью к любому фторхинолону и, по крайней мере, к одному дополнительному препарату группы A, или пациентам из установленного ШЛУ контакта. [13, 44, 83,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bookmarkStart w:id="2" w:name="P619"/>
      <w:bookmarkEnd w:id="2"/>
      <w:r w:rsidRPr="00C44A1E">
        <w:rPr>
          <w:rFonts w:ascii="Times New Roman" w:hAnsi="Times New Roman" w:cs="Times New Roman"/>
          <w:b/>
          <w:sz w:val="24"/>
          <w:szCs w:val="24"/>
        </w:rPr>
        <w:t>3.1.1 Режим химиотерапии лекарственно-чувствительного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лечение пациентов по РХТ лекарственно-чувствительного туберкулеза проводить длительностью не менее 6 месяцев для эффективного курса ХТ: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длительность интенсивной фазы - не менее 2 месяцев (60 доз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длительность фазы продолжения лечения - не менее 4 месяцев для достижения улучшения результата лечения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w:t>
      </w:r>
      <w:proofErr w:type="gramStart"/>
      <w:r w:rsidRPr="00C44A1E">
        <w:rPr>
          <w:rFonts w:ascii="Times New Roman" w:hAnsi="Times New Roman" w:cs="Times New Roman"/>
          <w:sz w:val="24"/>
          <w:szCs w:val="24"/>
        </w:rPr>
        <w:t>В интенсивную фазу химиотерапии пациенты с впервые выявленным туберкулезом должны принять не менее 60 суточных доз (2 месяцев) комбинации из 4 основных противотуберкулезных препаратов (не менее 3 при невозможности назначения #этамбутола**);</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пациенты из групп "После прерывания курса химиотерапии", "Рецидив туберкулеза" и "Прочие случаи повторного лечения" - не менее 90 суточных доз (3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фазе продолжения терапии пациенты с впервые выявленным туберкулезом должны принять не менее 120 доз (4 месяцев), пациенты из групп "После прерывания курса химиотерапии", "Рецидив туберкулеза" и "Прочие случаи повторного лечения" - не менее 150 доз (5 месяцев)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Решением ВК (ЦВКК) фаза интенсивной терапии может быть продлена до приема 120 или 150 суточных доз в случаях распространенного и осложненного туберкулеза, при подтвержденной или предполагаемой чувствительности МБТ к изониазиду** и рифампицину**.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Длительность лечения по режиму химиотерапии лекарственно-чувствительного туберкулеза может быть продлена до 9 - 12 месяцев (при тяжелых, распространенных и генерализованных (включая менингит) процессах с сохраненной чувствительностью МБТ к изониазиду** и рифампицину** или отсутствии риска МЛУ 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 Рекомендуется продление фазы интенсивной терапии пациентам с впервые выявленным туберкулезом до 90 суточных доз (3 мес.) противотуберкулезных препаратов (ПТП) в случае отсутствия к моменту </w:t>
      </w:r>
      <w:proofErr w:type="gramStart"/>
      <w:r w:rsidRPr="00C44A1E">
        <w:rPr>
          <w:rFonts w:ascii="Times New Roman" w:hAnsi="Times New Roman" w:cs="Times New Roman"/>
          <w:sz w:val="24"/>
          <w:szCs w:val="24"/>
        </w:rPr>
        <w:t>завершения их приема результатов определения лекарственной чувствительности возбудителя</w:t>
      </w:r>
      <w:proofErr w:type="gramEnd"/>
      <w:r w:rsidRPr="00C44A1E">
        <w:rPr>
          <w:rFonts w:ascii="Times New Roman" w:hAnsi="Times New Roman" w:cs="Times New Roman"/>
          <w:sz w:val="24"/>
          <w:szCs w:val="24"/>
        </w:rPr>
        <w:t xml:space="preserve"> до момента их получения для достижения успешного результата лечения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Рекомендуется перевод пациента на фазу продолжения терапии после завершения приема указанных выше доз комбинаций лекарственных препаратов фазы интенсивной терапии при отсутствии бактериовыделения, подтвержденного результатами микроскопических исследований и положительной клинико-рентгенологической динамике процесса для достижения излечения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w:t>
      </w:r>
      <w:proofErr w:type="gramStart"/>
      <w:r w:rsidRPr="00C44A1E">
        <w:rPr>
          <w:rFonts w:ascii="Times New Roman" w:hAnsi="Times New Roman" w:cs="Times New Roman"/>
          <w:sz w:val="24"/>
          <w:szCs w:val="24"/>
        </w:rPr>
        <w:t>короткий</w:t>
      </w:r>
      <w:proofErr w:type="gramEnd"/>
      <w:r w:rsidRPr="00C44A1E">
        <w:rPr>
          <w:rFonts w:ascii="Times New Roman" w:hAnsi="Times New Roman" w:cs="Times New Roman"/>
          <w:sz w:val="24"/>
          <w:szCs w:val="24"/>
        </w:rPr>
        <w:t xml:space="preserve"> 4-месячный РХТ лекарственно-чувствительного туберкулеза детям и подросткам с ограниченными процессами с целью клинического излечения при уменьшении медикаментозной нагрузки [84, 108].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Детям и подросткам с ограниченным лекарственно-чувствительным ТБ в фазу интенсивной терапии (2 мес.) назначают 4 ПТП (не менее 3 ПТП), в фазу продолжения лечения (2 мес.) - 2 ПТП.</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Критерии ограниченных форм 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ТБ 1 - 2 групп внутригрудных лимфатических узлов (ВГЛУ);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ТБ ВГЛУ на стадии обратного развития (формирование малых остаточных изменений;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очаги в пределах 1 - 2 сегментов легкого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ТБ с отсутствием осложнений</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Не рекомендуется прием препаратов три раза в неделю (интермиттирующий метод) ни на интенсивном, ни на поддерживающем этапе лечения, (частота приема лекарственных средств ежедневная) для повышения результатов лечения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Комбинации противотуберкулезных препаратов (схемы ХТ):</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для лечения по режиму лекарственно-чувствительного ТБ длительностью 6 мес. в фазу интенсивной терапии (2 мес.) применение комбинации из четырех противотуберкулезных препаратов: изониазида** в соответствии с инструкцией по применению препарата, рифампицина** в соответствии с инструкцией по применению препарата, пиразинамида** (детям с 3-х лет согласно инструкции)/#пиразинамида** в возрасте от 1 мес. до 3 лет 30 - 40 мг/кг [84] и</w:t>
      </w:r>
      <w:proofErr w:type="gramEnd"/>
      <w:r w:rsidRPr="00C44A1E">
        <w:rPr>
          <w:rFonts w:ascii="Times New Roman" w:hAnsi="Times New Roman" w:cs="Times New Roman"/>
          <w:sz w:val="24"/>
          <w:szCs w:val="24"/>
        </w:rPr>
        <w:t xml:space="preserve"> этамбутола** (детям с 13 лет согласно инструкции)/#этамбутола** детям с массой тела 3 и более </w:t>
      </w:r>
      <w:proofErr w:type="gramStart"/>
      <w:r w:rsidRPr="00C44A1E">
        <w:rPr>
          <w:rFonts w:ascii="Times New Roman" w:hAnsi="Times New Roman" w:cs="Times New Roman"/>
          <w:sz w:val="24"/>
          <w:szCs w:val="24"/>
        </w:rPr>
        <w:t>кг</w:t>
      </w:r>
      <w:proofErr w:type="gramEnd"/>
      <w:r w:rsidRPr="00C44A1E">
        <w:rPr>
          <w:rFonts w:ascii="Times New Roman" w:hAnsi="Times New Roman" w:cs="Times New Roman"/>
          <w:sz w:val="24"/>
          <w:szCs w:val="24"/>
        </w:rPr>
        <w:t xml:space="preserve"> в дозе 15 - 25 мг/кг [84] (способ применения, доза препарата и длительность применения у детей см. в Приложении А3, таблица 9) для достижения бактерицидного и бактериостатического эффекта [44, 83, 84].</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lastRenderedPageBreak/>
        <w:t>Уровень убедительности рекомендаций C (уровень достоверности доказательств 5</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невозможности назначения этамбутола**/#этамбутола** схема химиотерапии в интенсивную фазу может быть составлена из трех препаратов: изониазида**, рифампицина**, пиразинамида**/#пиразинамида**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лечения по режиму лекарственно-чувствительного ТБ в фазу продолжения терапии применение комбинации из 2-х основных противотуберкулезных препаратов - изониазида** и рифампицина** в течение 4-х месяцев для достижения эффективности лечения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для лечения по режиму лекарственно-чувствительного ТБ в фазу продолжения терапии по решению ВК применение комбинации из 3-х основных противотуберкулезных препаратов - изониазида**, рифампицина** и пиразинамида** (детям с 3-х лет согласно инструкции)/#пиразинамида** в возрасте от 1 мес. до 3 лет 30 - 40 мг/кг [84] или этамбутола** (детям с 13 лет согласно инструкции)/#этамбутола** детям с массой тела 3 и</w:t>
      </w:r>
      <w:proofErr w:type="gramEnd"/>
      <w:r w:rsidRPr="00C44A1E">
        <w:rPr>
          <w:rFonts w:ascii="Times New Roman" w:hAnsi="Times New Roman" w:cs="Times New Roman"/>
          <w:sz w:val="24"/>
          <w:szCs w:val="24"/>
        </w:rPr>
        <w:t xml:space="preserve"> более </w:t>
      </w:r>
      <w:proofErr w:type="gramStart"/>
      <w:r w:rsidRPr="00C44A1E">
        <w:rPr>
          <w:rFonts w:ascii="Times New Roman" w:hAnsi="Times New Roman" w:cs="Times New Roman"/>
          <w:sz w:val="24"/>
          <w:szCs w:val="24"/>
        </w:rPr>
        <w:t>кг</w:t>
      </w:r>
      <w:proofErr w:type="gramEnd"/>
      <w:r w:rsidRPr="00C44A1E">
        <w:rPr>
          <w:rFonts w:ascii="Times New Roman" w:hAnsi="Times New Roman" w:cs="Times New Roman"/>
          <w:sz w:val="24"/>
          <w:szCs w:val="24"/>
        </w:rPr>
        <w:t xml:space="preserve"> в дозе 15 - 25 мг/кг [84] при замедленной динамике туберкулезного процесса для достижения эффективности лечения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Прием </w:t>
      </w:r>
      <w:proofErr w:type="gramStart"/>
      <w:r w:rsidRPr="00C44A1E">
        <w:rPr>
          <w:rFonts w:ascii="Times New Roman" w:hAnsi="Times New Roman" w:cs="Times New Roman"/>
          <w:sz w:val="24"/>
          <w:szCs w:val="24"/>
        </w:rPr>
        <w:t>препаратов</w:t>
      </w:r>
      <w:proofErr w:type="gramEnd"/>
      <w:r w:rsidRPr="00C44A1E">
        <w:rPr>
          <w:rFonts w:ascii="Times New Roman" w:hAnsi="Times New Roman" w:cs="Times New Roman"/>
          <w:sz w:val="24"/>
          <w:szCs w:val="24"/>
        </w:rPr>
        <w:t xml:space="preserve"> как в интенсивную фазу, так и в фазу продолжения должен быть ежедневным. По решению ВК этамбутол**/#этамбутол** может применяться как при 6-месячных, так и 4-месячных схемах химиотерапии в фазу интенсивной 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детям в возрасте от 3 месяцев и подросткам с ограниченным туберкулезом органов дыхания при 4-месячном курсе лечения по режиму лекарственно-чувствительного ТБ в фазу интенсивной терапии назначение не менее 3 ПТП в течение 2 мес., в фазу продолжения терапии - 2 ПТП в течение 2 мес. для достижения эффективности курса химиотерапии и предупреждения рецидива заболевания [84, 157].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при 4-х месячном режиме химиотерапии лекарственно-чувствительного туберкулеза назначение изониазида**, рифампицина** и пиразинамида** (детям с 3-х лет согласно инструкции)/#пиразинамида** в возрасте от 1 мес. до 3 лет 30 - 40 мг/кг [84] в течение 2 месяцев для подавления популяции микобактерий. Факультативно 4-м препаратом можно назначать этамбутол** (детям с 13 лет согласно инструкции)/#этамбутол** детям с массой тела 3 и более </w:t>
      </w:r>
      <w:proofErr w:type="gramStart"/>
      <w:r w:rsidRPr="00C44A1E">
        <w:rPr>
          <w:rFonts w:ascii="Times New Roman" w:hAnsi="Times New Roman" w:cs="Times New Roman"/>
          <w:sz w:val="24"/>
          <w:szCs w:val="24"/>
        </w:rPr>
        <w:t>кг</w:t>
      </w:r>
      <w:proofErr w:type="gramEnd"/>
      <w:r w:rsidRPr="00C44A1E">
        <w:rPr>
          <w:rFonts w:ascii="Times New Roman" w:hAnsi="Times New Roman" w:cs="Times New Roman"/>
          <w:sz w:val="24"/>
          <w:szCs w:val="24"/>
        </w:rPr>
        <w:t xml:space="preserve"> в дозе 15 - 25 мг/кг [84] [84, 157].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при 4-месячном режиме химиотерапии лекарственно-чувствительного туберкулеза назначение изониазида**, рифампицина** в течение 2 месяцев на фазе продолжения для улучшения результата лечения [84, 157].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Комментарии: 4-месячная схема лечения (2 месяца изониазида**, рифампицина**, пиразинамида** и (факультативно) #этамбутола**, затем 2 месяца изониазида** и рифампицина** по эффективности не уступает стандартной 6-месячной схеме [84, 157]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детям с туберкулезом органов дыхания при лечении лекарственно-чувствительного туберкулеза назначать комбинированные противотуберкулезные препараты с фиксированными дозами (КПФД) с целью снижения медикаментозной нагрузки и повышения приверженности лечению [13, 43,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У детей возможно использование КПФД, их назначают в соответствии с инструкцией к препарату: двухкомпонентных комбинированных препаратов с детскими дозировками. Прием комбинированных препаратов предполагает сокращение количества таблеток и не требует деления (дробления) таблетки.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в случаях обнаружения МБТ и установления лекарственной устойчивости возбудителя, вне зависимости от длительности лечения по режиму химиотерапии лекарственно-чувствительного туберкулеза, смена РХТ в соответствии с результатом определения лекарственной чувствительности возбудителя у пациента с туберкулезом для достижения излечения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При выявлении в ходе лечения лекарственной устойчивости МБТ пациента переводят на </w:t>
      </w:r>
      <w:proofErr w:type="gramStart"/>
      <w:r w:rsidRPr="00C44A1E">
        <w:rPr>
          <w:rFonts w:ascii="Times New Roman" w:hAnsi="Times New Roman" w:cs="Times New Roman"/>
          <w:sz w:val="24"/>
          <w:szCs w:val="24"/>
        </w:rPr>
        <w:t>соответствующий</w:t>
      </w:r>
      <w:proofErr w:type="gramEnd"/>
      <w:r w:rsidRPr="00C44A1E">
        <w:rPr>
          <w:rFonts w:ascii="Times New Roman" w:hAnsi="Times New Roman" w:cs="Times New Roman"/>
          <w:sz w:val="24"/>
          <w:szCs w:val="24"/>
        </w:rPr>
        <w:t xml:space="preserve"> РХТ в зависимости от спектра устойчивости возбудителя к тем или иным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таблице 1. представлены схемы лечения лекарственно-чувствительного ТБ в зависимости от тяжести и распространенности процесса (комбинация ПТП, длительность)</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1. Схемы лечения лекарственно-чувствительного ТБ</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324"/>
        <w:gridCol w:w="3855"/>
      </w:tblGrid>
      <w:tr w:rsidR="00FC36A5" w:rsidRPr="00C44A1E">
        <w:tc>
          <w:tcPr>
            <w:tcW w:w="289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Характер процесса</w:t>
            </w:r>
          </w:p>
        </w:tc>
        <w:tc>
          <w:tcPr>
            <w:tcW w:w="6179" w:type="dxa"/>
            <w:gridSpan w:val="2"/>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Схема и длительность &lt;*&gt;</w:t>
            </w:r>
          </w:p>
        </w:tc>
      </w:tr>
      <w:tr w:rsidR="00FC36A5" w:rsidRPr="00C44A1E">
        <w:tc>
          <w:tcPr>
            <w:tcW w:w="2891" w:type="dxa"/>
          </w:tcPr>
          <w:p w:rsidR="00414991" w:rsidRPr="00C44A1E" w:rsidRDefault="00414991">
            <w:pPr>
              <w:spacing w:after="1" w:line="220" w:lineRule="atLeast"/>
              <w:rPr>
                <w:rFonts w:ascii="Times New Roman" w:hAnsi="Times New Roman" w:cs="Times New Roman"/>
                <w:sz w:val="24"/>
                <w:szCs w:val="24"/>
              </w:rPr>
            </w:pP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Фаза интенсивной терапии</w:t>
            </w:r>
          </w:p>
        </w:tc>
        <w:tc>
          <w:tcPr>
            <w:tcW w:w="3855"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Фаза продолжения</w:t>
            </w:r>
          </w:p>
        </w:tc>
      </w:tr>
      <w:tr w:rsidR="00FC36A5" w:rsidRPr="00C44A1E">
        <w:tc>
          <w:tcPr>
            <w:tcW w:w="289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ТБ любой степени тяжести</w:t>
            </w: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2 - 3 HR/ZE [S]</w:t>
            </w:r>
          </w:p>
        </w:tc>
        <w:tc>
          <w:tcPr>
            <w:tcW w:w="3855" w:type="dxa"/>
          </w:tcPr>
          <w:p w:rsidR="00414991" w:rsidRPr="00C44A1E" w:rsidRDefault="00414991">
            <w:pPr>
              <w:spacing w:after="1" w:line="220" w:lineRule="atLeast"/>
              <w:rPr>
                <w:rFonts w:ascii="Times New Roman" w:hAnsi="Times New Roman" w:cs="Times New Roman"/>
                <w:sz w:val="24"/>
                <w:szCs w:val="24"/>
                <w:lang w:val="en-US"/>
              </w:rPr>
            </w:pPr>
            <w:r w:rsidRPr="00C44A1E">
              <w:rPr>
                <w:rFonts w:ascii="Times New Roman" w:hAnsi="Times New Roman" w:cs="Times New Roman"/>
                <w:sz w:val="24"/>
                <w:szCs w:val="24"/>
                <w:lang w:val="en-US"/>
              </w:rPr>
              <w:t>4 HR Z [E]</w:t>
            </w:r>
          </w:p>
          <w:p w:rsidR="00414991" w:rsidRPr="00C44A1E" w:rsidRDefault="00414991">
            <w:pPr>
              <w:spacing w:after="1" w:line="220" w:lineRule="atLeast"/>
              <w:rPr>
                <w:rFonts w:ascii="Times New Roman" w:hAnsi="Times New Roman" w:cs="Times New Roman"/>
                <w:sz w:val="24"/>
                <w:szCs w:val="24"/>
                <w:lang w:val="en-US"/>
              </w:rPr>
            </w:pPr>
            <w:r w:rsidRPr="00C44A1E">
              <w:rPr>
                <w:rFonts w:ascii="Times New Roman" w:hAnsi="Times New Roman" w:cs="Times New Roman"/>
                <w:sz w:val="24"/>
                <w:szCs w:val="24"/>
                <w:lang w:val="en-US"/>
              </w:rPr>
              <w:t>4 &lt;1&gt; HRR</w:t>
            </w:r>
          </w:p>
          <w:p w:rsidR="00414991" w:rsidRPr="00C44A1E" w:rsidRDefault="00414991">
            <w:pPr>
              <w:spacing w:after="1" w:line="220" w:lineRule="atLeast"/>
              <w:rPr>
                <w:rFonts w:ascii="Times New Roman" w:hAnsi="Times New Roman" w:cs="Times New Roman"/>
                <w:sz w:val="24"/>
                <w:szCs w:val="24"/>
                <w:lang w:val="en-US"/>
              </w:rPr>
            </w:pPr>
            <w:r w:rsidRPr="00C44A1E">
              <w:rPr>
                <w:rFonts w:ascii="Times New Roman" w:hAnsi="Times New Roman" w:cs="Times New Roman"/>
                <w:sz w:val="24"/>
                <w:szCs w:val="24"/>
                <w:lang w:val="en-US"/>
              </w:rPr>
              <w:t>5 &lt;2&gt; HR/RP Z [E]</w:t>
            </w:r>
          </w:p>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9 &lt;3&gt; HR [Z]</w:t>
            </w:r>
          </w:p>
        </w:tc>
      </w:tr>
      <w:tr w:rsidR="00414991" w:rsidRPr="00C44A1E">
        <w:tc>
          <w:tcPr>
            <w:tcW w:w="289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ТБ ограниченный</w:t>
            </w: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 HRZE или 2 HRZ</w:t>
            </w:r>
          </w:p>
        </w:tc>
        <w:tc>
          <w:tcPr>
            <w:tcW w:w="3855"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 HR или 4 HR</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3" w:name="P686"/>
      <w:bookmarkEnd w:id="3"/>
      <w:r w:rsidRPr="00C44A1E">
        <w:rPr>
          <w:rFonts w:ascii="Times New Roman" w:hAnsi="Times New Roman" w:cs="Times New Roman"/>
          <w:sz w:val="24"/>
          <w:szCs w:val="24"/>
        </w:rPr>
        <w:t>&lt;*&gt; для обозначения препаратов используются в качестве стандартных следующие сокращения: H - изониазид**, R - рифампицин**, Z - пиразинамид**, E - #этамбутол**, S - стрептомицин**; Mfx - #моксифлоксацин**. Число, предшествующее обозначению закодированных составляющих каждой фазы, соответствует продолжительности этой фазы в месяцах (так, схема 2HRZE предполагает лечение изониазидом**, рифампицином**, пиразинамидом** и #этамбутолом** в течение 2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 w:name="P687"/>
      <w:bookmarkEnd w:id="4"/>
      <w:r w:rsidRPr="00C44A1E">
        <w:rPr>
          <w:rFonts w:ascii="Times New Roman" w:hAnsi="Times New Roman" w:cs="Times New Roman"/>
          <w:sz w:val="24"/>
          <w:szCs w:val="24"/>
        </w:rPr>
        <w:t>&lt;1&gt; - при туберкулезе органов дыхания для впервые выявленных больных;</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5" w:name="P688"/>
      <w:bookmarkEnd w:id="5"/>
      <w:r w:rsidRPr="00C44A1E">
        <w:rPr>
          <w:rFonts w:ascii="Times New Roman" w:hAnsi="Times New Roman" w:cs="Times New Roman"/>
          <w:sz w:val="24"/>
          <w:szCs w:val="24"/>
        </w:rPr>
        <w:lastRenderedPageBreak/>
        <w:t>&lt;2&gt; - при туберкулезе органов дыхания для больных из групп "после прерывания курса химиотерапии", "рецидив туберкулеза" или прочие случаи повторного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6" w:name="P689"/>
      <w:bookmarkEnd w:id="6"/>
      <w:r w:rsidRPr="00C44A1E">
        <w:rPr>
          <w:rFonts w:ascii="Times New Roman" w:hAnsi="Times New Roman" w:cs="Times New Roman"/>
          <w:sz w:val="24"/>
          <w:szCs w:val="24"/>
        </w:rPr>
        <w:t>&lt;3&gt; - при туберкулезном менингите, костно-суставном туберкулезе и генерализованном туберкулезе.</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2. Дозы противотуберкулезных препаратов для лечения лекарственно-чувствительного ТБ (инструкция к препарату)</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417"/>
        <w:gridCol w:w="2324"/>
        <w:gridCol w:w="2268"/>
      </w:tblGrid>
      <w:tr w:rsidR="00FC36A5" w:rsidRPr="00C44A1E">
        <w:tc>
          <w:tcPr>
            <w:tcW w:w="306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препарат</w:t>
            </w:r>
          </w:p>
        </w:tc>
        <w:tc>
          <w:tcPr>
            <w:tcW w:w="141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доза (мг/кг)</w:t>
            </w:r>
          </w:p>
        </w:tc>
        <w:tc>
          <w:tcPr>
            <w:tcW w:w="232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диапазон доз (мг/кг)</w:t>
            </w:r>
          </w:p>
        </w:tc>
        <w:tc>
          <w:tcPr>
            <w:tcW w:w="226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макс. сут. доза (мг)</w:t>
            </w:r>
          </w:p>
        </w:tc>
      </w:tr>
      <w:tr w:rsidR="00FC36A5" w:rsidRPr="00C44A1E">
        <w:tc>
          <w:tcPr>
            <w:tcW w:w="306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Рифампицин** (R)</w:t>
            </w:r>
          </w:p>
        </w:tc>
        <w:tc>
          <w:tcPr>
            <w:tcW w:w="1417"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10</w:t>
            </w: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10 - 20</w:t>
            </w:r>
          </w:p>
        </w:tc>
        <w:tc>
          <w:tcPr>
            <w:tcW w:w="2268"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600</w:t>
            </w:r>
          </w:p>
        </w:tc>
      </w:tr>
      <w:tr w:rsidR="00FC36A5" w:rsidRPr="00C44A1E">
        <w:tc>
          <w:tcPr>
            <w:tcW w:w="306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Изониазид** (H)</w:t>
            </w:r>
          </w:p>
        </w:tc>
        <w:tc>
          <w:tcPr>
            <w:tcW w:w="1417"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10</w:t>
            </w: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7 - 15</w:t>
            </w:r>
          </w:p>
        </w:tc>
        <w:tc>
          <w:tcPr>
            <w:tcW w:w="2268"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600</w:t>
            </w:r>
          </w:p>
        </w:tc>
      </w:tr>
      <w:tr w:rsidR="00FC36A5" w:rsidRPr="00C44A1E">
        <w:tc>
          <w:tcPr>
            <w:tcW w:w="306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Пиразинамид** (Z) с 3 лет</w:t>
            </w:r>
          </w:p>
        </w:tc>
        <w:tc>
          <w:tcPr>
            <w:tcW w:w="1417"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20</w:t>
            </w: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15 - 20</w:t>
            </w:r>
          </w:p>
        </w:tc>
        <w:tc>
          <w:tcPr>
            <w:tcW w:w="2268"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1500</w:t>
            </w:r>
          </w:p>
        </w:tc>
      </w:tr>
      <w:tr w:rsidR="00414991" w:rsidRPr="00C44A1E">
        <w:tc>
          <w:tcPr>
            <w:tcW w:w="306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Этамбутол** (E) с 13 лет</w:t>
            </w:r>
          </w:p>
        </w:tc>
        <w:tc>
          <w:tcPr>
            <w:tcW w:w="1417"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20</w:t>
            </w:r>
          </w:p>
        </w:tc>
        <w:tc>
          <w:tcPr>
            <w:tcW w:w="232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15 - 25</w:t>
            </w:r>
          </w:p>
        </w:tc>
        <w:tc>
          <w:tcPr>
            <w:tcW w:w="2268"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1000</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&lt;*&gt; более высокие значения из диапазона доз изониазида** относятся к детям младшего возраста при менингите.</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3.1.2 Режим химиотерапии изониазид-устойчивого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Изониазид-устойчивый туберкулез (</w:t>
      </w:r>
      <w:proofErr w:type="gramStart"/>
      <w:r w:rsidRPr="00C44A1E">
        <w:rPr>
          <w:rFonts w:ascii="Times New Roman" w:hAnsi="Times New Roman" w:cs="Times New Roman"/>
          <w:sz w:val="24"/>
          <w:szCs w:val="24"/>
        </w:rPr>
        <w:t>Ну-ТБ</w:t>
      </w:r>
      <w:proofErr w:type="gramEnd"/>
      <w:r w:rsidRPr="00C44A1E">
        <w:rPr>
          <w:rFonts w:ascii="Times New Roman" w:hAnsi="Times New Roman" w:cs="Times New Roman"/>
          <w:sz w:val="24"/>
          <w:szCs w:val="24"/>
        </w:rPr>
        <w:t>), вызван устойчивыми к изониазиду** и чувствительными к рифампицину** штаммами Mycobacterium tuberculosis complex</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лечение пациентов по режиму химиотерапии изониазид-устойчивого (резистентного) туберкулеза проводить длительностью не менее 6 месяцев для повышения эффективности лечения, уменьшения числа рецидивов [44].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лечение по режиму химиотерапии изониазид-устойчивого туберкулеза продлить более 6 мес. пациентам с бактериовыделением и/или при отсутствии (замедленной) положительной рентгенологической динамики процесса для достижения излечения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Длительность лечения химиотерапии можно продлить более 6 месяцев (по решению ВК) в следующих случаях: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положительных результатах микроскопических и/или культуральных исследований после приема 60 - 90 доз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полирезистентности МБТ (при сохраненной чувствительности к рифампицину**);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отсутствии положительной рентгенологической динамики после приема 60 - 90 доз независимо от результатов мокроты на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распространенном и/или деструктивном процессе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Длительность лечения пациентов в этих случаях может быть увеличена до 9 - 12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Перевод пациентов с распространенным и/или деструктивным туберкулезом органов дыхания на фазу продолжения терапии рекомендуется проводить после завершения приема 90 - 120 доз комбинации лекарственных препаратов фазы интенсивной терапии при получении отрицательных результатов микроскопии и посева и положительной клинико-рентгенологической динамике процесса с целью излечения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Комбинации противотуберкулезных препаратов (схемы ХТ)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лечения пациентов по режиму химиотерапии изониазид-устойчивого туберкулеза применение комбинации из 4 противотуберкулезных лекарственных препаратов первого и второго ряда на основании результата определения лекарственной чувствительности возбудителя у пациента или предполагаемого источника инфекции с целью излечения [13, 44,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в качестве трех основных лекарственных препаратов в схеме при лечении пациентов по режиму химиотерапии изониазид-устойчивого туберкулеза применение рифампицина** (10 - 20 мг/кг/сут), пиразинамида** (детям с 3-х лет согласно инструкции)/#пиразинамида** в возрасте от 1 мес. до 3 лет 30 - 40 мг/кг [84] и этамбутола** (детям с 13 лет согласно инструкции)/#этамбутола** детям с массой тела 3 и</w:t>
      </w:r>
      <w:proofErr w:type="gramEnd"/>
      <w:r w:rsidRPr="00C44A1E">
        <w:rPr>
          <w:rFonts w:ascii="Times New Roman" w:hAnsi="Times New Roman" w:cs="Times New Roman"/>
          <w:sz w:val="24"/>
          <w:szCs w:val="24"/>
        </w:rPr>
        <w:t xml:space="preserve"> более </w:t>
      </w:r>
      <w:proofErr w:type="gramStart"/>
      <w:r w:rsidRPr="00C44A1E">
        <w:rPr>
          <w:rFonts w:ascii="Times New Roman" w:hAnsi="Times New Roman" w:cs="Times New Roman"/>
          <w:sz w:val="24"/>
          <w:szCs w:val="24"/>
        </w:rPr>
        <w:t>кг</w:t>
      </w:r>
      <w:proofErr w:type="gramEnd"/>
      <w:r w:rsidRPr="00C44A1E">
        <w:rPr>
          <w:rFonts w:ascii="Times New Roman" w:hAnsi="Times New Roman" w:cs="Times New Roman"/>
          <w:sz w:val="24"/>
          <w:szCs w:val="24"/>
        </w:rPr>
        <w:t xml:space="preserve"> в дозе 15 - 25 мг/кг [84] с целью излечения (способ применения, доза препарата #этамбутол** и длительность применения у детей см. в Приложении А3, таблица 9) [44, 43,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при известной или предполагаемой лекарственной устойчивости возбудителя к этамбутолу**/#этамбутолу** (15 - 20 мг/кг/сут) и/или пиразинамиду**/#пиразинамиду** (30 - 40 мг/кг/сут) для достижения бактерицидного эффекта в схему терапии включать #амикацин** (15 - 25 мг/кг/сут), протионамид** (детям с 3 лет согласно инструкции)/#протионамид** 15 - 20 мг/кг или этионамид** (детям с 3 лет согласно инструкции), #этионамид</w:t>
      </w:r>
      <w:proofErr w:type="gramEnd"/>
      <w:r w:rsidRPr="00C44A1E">
        <w:rPr>
          <w:rFonts w:ascii="Times New Roman" w:hAnsi="Times New Roman" w:cs="Times New Roman"/>
          <w:sz w:val="24"/>
          <w:szCs w:val="24"/>
        </w:rPr>
        <w:t>** 15 - 20 мг/кг/сут), аминосалициловая кислота** (200 - 300 мг/кг/сут) [84] (способ применения, доза препаратов #этамбутол**, #пиразинамид** и #амикацин**, #протионамид** длительность применения у детей см. в Приложении А3, таблица 9) [44, 43,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Комментарии: в случаях, когда устойчивость к изониазиду** сочетается с устойчивостью к другим препаратам (полирезистентность, но не МЛУ) и процесс распространенный, схема ХТ в фазу интенсивной терапии может быть представлена 5-ю ПТП (не менее 4-х эффективных) на 3 - 4 мес., с последующей фазой продолжения 3 ПТП до 9 - 12 мес. [13, 44, 83,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выявлении устойчивости к рифампицину** у пациента следует перейти на режим лечения МЛУ ТБ (см. следующие разделы).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пациентам с туберкулезом по режиму химиотерапии изониазид-устойчивого туберкулеза в качестве четвертого лекарственного препарата применение #левофлоксацина** (15 - 20 мг/кг/сут) для улучшения результатов лечения. Эффективна комбинация препаратов: рифампицин**, этамбутол**/#этамбутол** (15 - 25 мг/кг/сут), пиразинамид**/#пиразинамид** (30 - 40 мг/кг/сут), #левофлоксацин** (15 - 20 мг/кг/сут) (REZLfx) в течение 6 мес. (способ применения, доза препаратов #этамбутол** и #левофлоксацин**,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Схема химиотерапии: продолжительность режима REZ с #левофлоксацином** обычно составляет 6 месяцев (6REZLfx) т.е. - завершение курса химиотерапии) [44, 139].</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Рекомендовано перед назначением режима лечения состоящего из рифампицина**, этамбутола** (детям с 13 лет согласно инструкции)/#этамбутола** детям с массой тела 3 и более кг в дозе 15 - 25 мг/кг [84], пиразинамида** (детям с 3-х лет согласно инструкции)/#пиразинамида** в возрасте от 1 мес. до 3 лет 30 - 40 мг/кг [84] и #левофлоксацина** (10 - 20 мг/кг/сут) [84</w:t>
      </w:r>
      <w:proofErr w:type="gramEnd"/>
      <w:r w:rsidRPr="00C44A1E">
        <w:rPr>
          <w:rFonts w:ascii="Times New Roman" w:hAnsi="Times New Roman" w:cs="Times New Roman"/>
          <w:sz w:val="24"/>
          <w:szCs w:val="24"/>
        </w:rPr>
        <w:t>] (способ применения, доза препарата #этамбутол, #пиразинамид, #левофлоксацин**, длительность применения у детей см. в Приложении А3, таблица 9) исключить устойчивость МБТ к рифампицину** с помощью генотипических или фенотипических методов для улучшения результатов лечения [13, 44, 83,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в идеальном варианте до начала лечения следует аналогичным образом исключить устойчивость к фторхинолонам (и, по возможности, к пиразинамиду**).</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применение эмпирического режима лечения состоящего из рифампицина**, этамбутола** (детям с 13 лет согласно инструкции)/#этамбутола** (детям с массой тела 3 и более кг в дозе 15 - 25 мг/кг), пиразинамида** (детям с 3-х лет согласно инструкции)/#пиразинамида** в возрасте от 1 мес. до 3 лет 30 - 40 мг/кг [84] и #левофлоксацина** (15 - 20 мг/кг/сут) [84] (способ</w:t>
      </w:r>
      <w:proofErr w:type="gramEnd"/>
      <w:r w:rsidRPr="00C44A1E">
        <w:rPr>
          <w:rFonts w:ascii="Times New Roman" w:hAnsi="Times New Roman" w:cs="Times New Roman"/>
          <w:sz w:val="24"/>
          <w:szCs w:val="24"/>
        </w:rPr>
        <w:t xml:space="preserve"> применения, доза препарата #этамбутол, #пиразинамид, #левофлоксацин**, длительность применения у детей см. в Приложении А3, таблица 9) при условии доказанного контакта с больным с устойчивым к изониазиду** ТБ (</w:t>
      </w:r>
      <w:proofErr w:type="gramStart"/>
      <w:r w:rsidRPr="00C44A1E">
        <w:rPr>
          <w:rFonts w:ascii="Times New Roman" w:hAnsi="Times New Roman" w:cs="Times New Roman"/>
          <w:sz w:val="24"/>
          <w:szCs w:val="24"/>
        </w:rPr>
        <w:t>Ну-ТБ</w:t>
      </w:r>
      <w:proofErr w:type="gramEnd"/>
      <w:r w:rsidRPr="00C44A1E">
        <w:rPr>
          <w:rFonts w:ascii="Times New Roman" w:hAnsi="Times New Roman" w:cs="Times New Roman"/>
          <w:sz w:val="24"/>
          <w:szCs w:val="24"/>
        </w:rPr>
        <w:t>) и чувствительного к рифампицину** (без лабораторного подтверждения Ну-ТБ у пациента) для достижения излечения.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если впоследствии результаты ТЛЧ укажут на чувствительность к изониазиду**, прием #левофлоксацина** прекращается, а пациент проходит курс лечения в режиме HREZ/HR. Пациентам, у которых, </w:t>
      </w:r>
      <w:proofErr w:type="gramStart"/>
      <w:r w:rsidRPr="00C44A1E">
        <w:rPr>
          <w:rFonts w:ascii="Times New Roman" w:hAnsi="Times New Roman" w:cs="Times New Roman"/>
          <w:sz w:val="24"/>
          <w:szCs w:val="24"/>
        </w:rPr>
        <w:t>Ну-ТБ</w:t>
      </w:r>
      <w:proofErr w:type="gramEnd"/>
      <w:r w:rsidRPr="00C44A1E">
        <w:rPr>
          <w:rFonts w:ascii="Times New Roman" w:hAnsi="Times New Roman" w:cs="Times New Roman"/>
          <w:sz w:val="24"/>
          <w:szCs w:val="24"/>
        </w:rPr>
        <w:t xml:space="preserve"> был обнаружен после начала режима HREZ, необходимо продолжить прием препаратов, входящих в режим - REZ, а #левофлоксацин** следует добавить после исключения устойчивости к рифампицину**.</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 Не рекомендуется добавление #левофлоксацина** (10 - 20 мг/кг/сут) к режиму REZ в случаях, когда невозможно исключить устойчивость к рифампицину**; при известной или предполагаемой устойчивости к #левофлоксацину**; при известной непереносимости фторхинолонов; при известном или предполагаемом риске удлинения интервала QT для </w:t>
      </w:r>
      <w:r w:rsidRPr="00C44A1E">
        <w:rPr>
          <w:rFonts w:ascii="Times New Roman" w:hAnsi="Times New Roman" w:cs="Times New Roman"/>
          <w:sz w:val="24"/>
          <w:szCs w:val="24"/>
        </w:rPr>
        <w:lastRenderedPageBreak/>
        <w:t>улучшения результатов лечения (способ применения, доза препарата #левофлоксацин**, длительность применения у детей см. в Приложении А3, таблица 9) [44].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3.1.3 Режим химиотерапии МЛУ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Лечение МЛУ туберкулеза может осуществляться по коротким и длительным режимам химиотерапии: в течение 6 месяцев, 9 месяцев и 18 - 20 месяцев. Режим определяется решением врачебной комиссии (ВК) и зависит не только от лекарственной устойчивости и чувствительности МБТ, но и от распространенности специфического процесса, наличия осложнений и сопутствующих заболеваний, переносимости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лечение детей с МЛУ-ТБ или рифампицин-устойчивым туберкулезом (МЛУ/РУ-ТБ) при распространенных и осложненных процессах (внелегочной локализации) проводить до 18 - 20 месяцев при длительном режиме для достижения излечения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 длительным режимам лечения МЛУ-ТБ относятся режимы лечения продолжительностью 18 - 20 месяцев, которые могут быть стандартными или индивидуальными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назначение #бедаквилина**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и фторхинолона в составе всех режимов химиотерапии МЛУ-ТБ для достижения излечения (способ применения, доза препарата #бедаквилин**,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при лечении детей всех возрастов с МЛУ/РУ-ТБ приоритет отдавать сокращенной полностью пероральной, содержащей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схеме ХТ для достижения излечения (способ применения, доза </w:t>
      </w:r>
      <w:r w:rsidRPr="00C44A1E">
        <w:rPr>
          <w:rFonts w:ascii="Times New Roman" w:hAnsi="Times New Roman" w:cs="Times New Roman"/>
          <w:sz w:val="24"/>
          <w:szCs w:val="24"/>
        </w:rPr>
        <w:lastRenderedPageBreak/>
        <w:t>препарата #бедаквилин**,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Короткий режим лечения МЛУ/РУ-ТБ - это в основном стандартизованный, полностью пероральный (без инъекционного препарата), включающий #бедаквилин**, курс лечения МЛУ-ТБ продолжительностью 6 или 9 мес. [48 - 50,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при лечении детей с МЛУ/РУ-ТБ приоритет отдавать сокращенной полностью пероральной, содержащей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для достижения излечения (способ применения, доза препарата #бедаквилин**, длительность применения у детей см. в Приложении А3, таблица 9), схеме. Для пациентов, не отвечающим критериям получения этой схемы, следует назначать длительную схему, состоящую из лекарственных сре</w:t>
      </w:r>
      <w:proofErr w:type="gramStart"/>
      <w:r w:rsidRPr="00C44A1E">
        <w:rPr>
          <w:rFonts w:ascii="Times New Roman" w:hAnsi="Times New Roman" w:cs="Times New Roman"/>
          <w:sz w:val="24"/>
          <w:szCs w:val="24"/>
        </w:rPr>
        <w:t>дств гр</w:t>
      </w:r>
      <w:proofErr w:type="gramEnd"/>
      <w:r w:rsidRPr="00C44A1E">
        <w:rPr>
          <w:rFonts w:ascii="Times New Roman" w:hAnsi="Times New Roman" w:cs="Times New Roman"/>
          <w:sz w:val="24"/>
          <w:szCs w:val="24"/>
        </w:rPr>
        <w:t>упп A, B и C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Короткий режим лечения МЛУ-ТБ - это в основном стандартизованный, полностью пероральный (без инъекционного препарата), включающий #бедаквилин**, курс лечения МЛУ-ТБ продолжительностью 6 - 9 месяцев [48 - 50, 139]. К длительным режимам лечения МЛУ-ТБ относятся режимы лечения продолжительностью более 9 мес.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в режиме химиотерапии МЛУ-ТБ у детей назначать в фазу интенсивной терапии комбинацию, одновременно включающую не менее 4 - 5 противотуберкулезных препаратов первого и второго ряда с доказанной или предполагаемой лекарственной чувствительностью возбудителя для достижения излечения: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w:t>
      </w:r>
      <w:proofErr w:type="gramStart"/>
      <w:r w:rsidRPr="00C44A1E">
        <w:rPr>
          <w:rFonts w:ascii="Times New Roman" w:hAnsi="Times New Roman" w:cs="Times New Roman"/>
          <w:sz w:val="24"/>
          <w:szCs w:val="24"/>
        </w:rPr>
        <w:t>мес</w:t>
      </w:r>
      <w:proofErr w:type="gramEnd"/>
      <w:r w:rsidRPr="00C44A1E">
        <w:rPr>
          <w:rFonts w:ascii="Times New Roman" w:hAnsi="Times New Roman" w:cs="Times New Roman"/>
          <w:sz w:val="24"/>
          <w:szCs w:val="24"/>
        </w:rPr>
        <w:t xml:space="preserve">),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#левофлоксацин** (15 - 20 мг/кг/сут) или #моксифлоксацин** (10 - 15 мг/кг/сут), #линезолид** (15 мг/кг/сут при весе 1 - 15 кг, 10 - 12 мг/кг/сут при весе &gt;= 15 кг), циклосерин** старше 3 лет - согласно инструкции/#циклосерин** (15 - 20 </w:t>
      </w:r>
      <w:proofErr w:type="gramStart"/>
      <w:r w:rsidRPr="00C44A1E">
        <w:rPr>
          <w:rFonts w:ascii="Times New Roman" w:hAnsi="Times New Roman" w:cs="Times New Roman"/>
          <w:sz w:val="24"/>
          <w:szCs w:val="24"/>
        </w:rPr>
        <w:t xml:space="preserve">мг/кг/сут при </w:t>
      </w:r>
      <w:r w:rsidRPr="00C44A1E">
        <w:rPr>
          <w:rFonts w:ascii="Times New Roman" w:hAnsi="Times New Roman" w:cs="Times New Roman"/>
          <w:sz w:val="24"/>
          <w:szCs w:val="24"/>
        </w:rPr>
        <w:lastRenderedPageBreak/>
        <w:t>весе от 7 до 30 кг, 10 - 15 мг/кг/сут при весе от 30 и более кг) или #теризидон** (15 - 20 мг/кг/сут при весе от 7 до 30 кг, 10 - 15 мг/кг/сут при весе от 30 и более кг) [44, 84, 139]</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Приоритетно назначают препараты группы A затем группы B и, при необходимости, препарат из группы C с доказанной или предполагаемой лекарственной чувствительностью возбудителя.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Короткий 9-месячный режим химиотерапии МЛУ-ТБ у детей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пациентов с МЛУ ТБ при коротком 9-месячном режиме химиотерапии фазу интенсивной терапии проводить длительностью 4 месяца; фазу продолжения - 5 месяцев для достижения излечения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короткий 9-месячный режим ХТ проводится больным туберкулезом с множественной лекарственной устойчивостью или рифампицин-устойчивым туберкулезом (МЛУ/РУ-ТБ) при условии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исключенной устойчивости МБТ к фторхинолонам или предполагаемой чувствительностью к фторхинолонам;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не </w:t>
      </w:r>
      <w:proofErr w:type="gramStart"/>
      <w:r w:rsidRPr="00C44A1E">
        <w:rPr>
          <w:rFonts w:ascii="Times New Roman" w:hAnsi="Times New Roman" w:cs="Times New Roman"/>
          <w:sz w:val="24"/>
          <w:szCs w:val="24"/>
        </w:rPr>
        <w:t>получавших</w:t>
      </w:r>
      <w:proofErr w:type="gramEnd"/>
      <w:r w:rsidRPr="00C44A1E">
        <w:rPr>
          <w:rFonts w:ascii="Times New Roman" w:hAnsi="Times New Roman" w:cs="Times New Roman"/>
          <w:sz w:val="24"/>
          <w:szCs w:val="24"/>
        </w:rPr>
        <w:t xml:space="preserve"> лечение используемыми в данном режиме ПТП второго ряда в течение более чем 1 месяца или при сохраненной чувствительности МБТ к этим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 решению ВК фаза интенсивной терапии может быть продлена до 5 месяцев, а общий курс ХТ до 12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при коротком режиме химиотерапии МЛУ ТБ у детей использовать схемы, содержащие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для достижения излечения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#Бедаквилин** (способ применения, доза препарата #бедаквилин**, длительность применения у детей см. в Приложении А3, таблица 9), является базовым препаратом (при отсутствии противопоказаний) схемы короткого курса ХТ. Назначают #бедаквилин** длительностью 6 мес., по решению ВК более 6 мес.; #бедаквилин** может использоваться у детей любого возраста [44,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всем пациентам с МЛУ ТБ включение #левофлоксацина** (15 - 20 мг/кг/сут) или #моксифлоксацина** (10 - 15 мг/кг/сут) в режим короткого курса химиотерапии с целью усиления эффективности лечения [45, 46, 46,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дополняют схему лечения у детей обычно #левофлоксацином** в связи с несколько более высоким риском кардиотоксичности #моксифлоксацина**; вне зависимости от выбора фторхинолона необходимо осуществлять активный мониторинг безопасности применения фторхинолонов вместе с #бедаквилином**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дополнить схему химиотерапии по короткому режиму МЛУ ТБ #линезолидом** (15 мг/кг/сут при весе 1 - 15 кг, 10 - 12 мг/кг/сут при весе &gt;= 15 кг) для достижения излечения [47,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схема химиотерапии в интенсивную фазу состоящая из #бедаквилина**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#левофлоксацина** (15 - 20 мг/кг/сут) или #моксифлоксацина** (10 - 15 мг/кг/сут), #линезолида** (15 мг/кг/сут при весе 1 - 15 кг, 10 - 12 мг/кг/сут при весе &gt;= 15 кг), циклосерина** старше 3 лет - согласно инструкции/#циклосерина** (15 - 20 </w:t>
      </w:r>
      <w:proofErr w:type="gramStart"/>
      <w:r w:rsidRPr="00C44A1E">
        <w:rPr>
          <w:rFonts w:ascii="Times New Roman" w:hAnsi="Times New Roman" w:cs="Times New Roman"/>
          <w:sz w:val="24"/>
          <w:szCs w:val="24"/>
        </w:rPr>
        <w:t>мг/кг/сут при весе от 7 до 30 кг, 10 - 15 мг/кг/сут при весе от 30 и более кг) или #теризидона** (15 - 20 мг/кг/сут при весе от 7 до 30 кг, 10 - 15 мг/кг/сут при весе от 30 и более кг) и пятого противотуберкулезного препарата (пиразинамид**/#пиразинамид** (30 - 40 мг/кг/сут), #амикацин</w:t>
      </w:r>
      <w:proofErr w:type="gramEnd"/>
      <w:r w:rsidRPr="00C44A1E">
        <w:rPr>
          <w:rFonts w:ascii="Times New Roman" w:hAnsi="Times New Roman" w:cs="Times New Roman"/>
          <w:sz w:val="24"/>
          <w:szCs w:val="24"/>
        </w:rPr>
        <w:t xml:space="preserve">** (15 - 25 мг/кг/сут), протионамид** (детям с 3 лет согласно инструкции)/#протионамид** 15 - 20 мг/кг или этионамид** (детям с 3 лет согласно инструкции), #этионамид** 15 - 20 мг/кг/сут), #деламанид** (25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#этамбутол** (15 - 25 мг/кг/сут), аминосалициловая кислота** (150 - 200 мг/кг/сут) на протяжении 4 месяцев при коротком режиме для достижения излечения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схема химиотерапии в фазу продолжения, состоящая из #бедаквилина**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w:t>
      </w:r>
      <w:r w:rsidRPr="00C44A1E">
        <w:rPr>
          <w:rFonts w:ascii="Times New Roman" w:hAnsi="Times New Roman" w:cs="Times New Roman"/>
          <w:sz w:val="24"/>
          <w:szCs w:val="24"/>
        </w:rPr>
        <w:lastRenderedPageBreak/>
        <w:t>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#левофлоксацина** (15 - 20 мг/кг/сут) или #моксифлоксацина** (10 - 15 мг/кг/сут), #линезолида** (15 мг/кг/сут при весе 1 - 15 кг, 10 - 12 мг/кг/сут при весе &gt;= 15 кг)), циклосерина** старше 3 лет - согласно инструкции/#циклосерина** (15 - 20 </w:t>
      </w:r>
      <w:proofErr w:type="gramStart"/>
      <w:r w:rsidRPr="00C44A1E">
        <w:rPr>
          <w:rFonts w:ascii="Times New Roman" w:hAnsi="Times New Roman" w:cs="Times New Roman"/>
          <w:sz w:val="24"/>
          <w:szCs w:val="24"/>
        </w:rPr>
        <w:t>мг/кг/сут при весе от 7 до 30 кг, 10 - 15 мг/кг/сут при весе от 30 и более кг) или #теризидона** (15 - 20 мг/кг/сут при весе от 7 до 30 кг, 10 - 15 мг/кг/сут при весе от 30 и более кг), на протяжении 5 месяцев при коротком режиме для достижения излечения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Короткий 6-месячный режим химиотерапии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детям от 15 лет и старше для лечения МЛУ ТБ применение 6-ти месячной схемы, состоящей из #бедаквилина**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#претоманида** (200 мг 1 р/день), #линезолида** (10 - 12 мг/кг/сут), #моксифлоксацина** (10 - 15 мг/кг/сут) (способ применения, доза препарата, длительность применения у детей см. в Приложении А3, таблица 9) с целью излечения [140].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Схема химиотерапии: Bq-Pa-Lzd-Mfx</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замедленной динамике лечение можно продлить до 9 мес.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детям от 14 лет и старше для лечения МЛУ ТБ применение 6-ти месячной схемы, состоящей из #бедаквилина**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#претоманида** (200 мг 1 р/день), #линезолида** (10 - 12 мг/кг/сут), при устойчивости МБТ к фторхинолонам с целью излечения (способ применения, доза препарата, длительность применения у детей см. в Приложении А3, таблица 9) [140]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Схема химиотерапии: Bq-Pa-Lzd</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замедленной динамике лечение можно продлить до 9 мес.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детям от 6 лет и старше для лечения МЛУ ТБ применение 6-ти месячной схемы ХТ, состоящей из #бедаквилина** (Вес &gt;= 10 кг &lt; 16 кг - 120 мг в течение 2 нед.; затем 60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Вес &gt;= 16 кг &lt; 30 кг - 200 мг в течение 2 нед.; затем 100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Вес &gt;= 30 кг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#линезолида** (10 - 12 мг/кг/сут), #левофлоксацина** (10 - 20 мг/кг/сут), #деламанида** (25 мг 2 р/д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с целью излечения (способ применения, доза препарата, длительность применения у детей см. в Приложении А3, таблица 9) [139, 140].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Схема ХТ: Bdq Lzd Lfx Dlm (альтернатива режиму BPaL(M)).</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замедленной динамике лечение можно продлить до 9 мес.</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Длительный режим химиотерапии МЛУ-ТБ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при длительном режиме ХТ назначение в фазу интенсивной терапии 5 (как минимум 4) эффективных ПТП, в фазу продолжения химиотерапии четырех препаратов (как минимум трех эффективных препаратов) после прекращения приема #бедаквилина**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w:t>
      </w:r>
      <w:proofErr w:type="gramStart"/>
      <w:r w:rsidRPr="00C44A1E">
        <w:rPr>
          <w:rFonts w:ascii="Times New Roman" w:hAnsi="Times New Roman" w:cs="Times New Roman"/>
          <w:sz w:val="24"/>
          <w:szCs w:val="24"/>
        </w:rPr>
        <w:t>мес</w:t>
      </w:r>
      <w:proofErr w:type="gramEnd"/>
      <w:r w:rsidRPr="00C44A1E">
        <w:rPr>
          <w:rFonts w:ascii="Times New Roman" w:hAnsi="Times New Roman" w:cs="Times New Roman"/>
          <w:sz w:val="24"/>
          <w:szCs w:val="24"/>
        </w:rPr>
        <w:t xml:space="preserve">),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для достижения излечения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пациентам с МЛУ-ТБ при длительном режиме лечения для достижения излечения включить в схему все три препарата группы A </w:t>
      </w:r>
      <w:proofErr w:type="gramStart"/>
      <w:r w:rsidRPr="00C44A1E">
        <w:rPr>
          <w:rFonts w:ascii="Times New Roman" w:hAnsi="Times New Roman" w:cs="Times New Roman"/>
          <w:sz w:val="24"/>
          <w:szCs w:val="24"/>
        </w:rPr>
        <w:t>и</w:t>
      </w:r>
      <w:proofErr w:type="gramEnd"/>
      <w:r w:rsidRPr="00C44A1E">
        <w:rPr>
          <w:rFonts w:ascii="Times New Roman" w:hAnsi="Times New Roman" w:cs="Times New Roman"/>
          <w:sz w:val="24"/>
          <w:szCs w:val="24"/>
        </w:rPr>
        <w:t xml:space="preserve"> по крайней мере один препарат группы B, чтобы лечение начиналось как минимум с 4 ПТП с вероятной высокой эффективностью и продолжалось как минимум 3 препаратами в случае прекращения приема #бедаквилина**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(способ применения, доза препарата #бедаквилин**, длительность применения у детей см. в Приложении А3, таблица 9). Если режим не может быть составлен только из препаратов групп A и B, их необходимо дополнить препаратами группы C.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составлении схемы лечения приоритет следует отдавать препаратам группы A и B.</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включение #левофлоксацина** (15 - 20 мг/кг/сут)/#моксифлоксацина** (10 - 15 мг/кг/сут) (способ применения, доза препаратов #левофлоксацин** и #моксифлоксацин**, длительность применения у детей см. в </w:t>
      </w:r>
      <w:r w:rsidRPr="00C44A1E">
        <w:rPr>
          <w:rFonts w:ascii="Times New Roman" w:hAnsi="Times New Roman" w:cs="Times New Roman"/>
          <w:sz w:val="24"/>
          <w:szCs w:val="24"/>
        </w:rPr>
        <w:lastRenderedPageBreak/>
        <w:t>Приложении А3, таблица 9), в составе длительного режима лечения МЛУ-ТБ для повышения эффективности 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назначение #линезолида** (15 мг/кг/сут при весе 1 - 15 кг, 10 - 12 мг/кг/сут при весе &gt;= 15 кг) (способ применения, доза препарата #линезолид**, длительность применения у детей см. в Приложении А3, таблица 9) в составе длительного режима лечения МЛУ ТБ для повышения эффективности 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назначение #бедаквилина**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(способ применения, доза препарата #бедаквилин**, длительность применения у детей см. в Приложении А3, таблица 9) в составе длительного режима лечения МЛУ ТБ для повышения эффективности 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назначение циклосерина** старше 3 лет - согласно инструкции/#циклосерина** (15 - 20 мг/кг/сут при весе от 7 до 30 кг, 10 - 15 мг/кг/сут при весе от 30 и более кг) или #теризидона** (15 - 20 мг/кг/сут при весе от 7 до 30 кг, 10 - 15 мг/кг/сут при весе от 30 и более кг) (способ</w:t>
      </w:r>
      <w:proofErr w:type="gramEnd"/>
      <w:r w:rsidRPr="00C44A1E">
        <w:rPr>
          <w:rFonts w:ascii="Times New Roman" w:hAnsi="Times New Roman" w:cs="Times New Roman"/>
          <w:sz w:val="24"/>
          <w:szCs w:val="24"/>
        </w:rPr>
        <w:t xml:space="preserve"> применения, доза препарата #теризидон**, длительность применения у детей см. в Приложении А3, таблица 9), в составе длительного режима лечения МЛУ ТБ для повышения эффективности лечения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пациентов с МЛУ ТБ при длительном режиме химиотерапии фазу интенсивной терапии проводить в течение 6 месяцев, фазу продолжения - не менее 12 месяцев, для достижения излечения [44,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Длительные режимы лечения МЛУ-ТБ с достаточным количеством эффективных препаратов повышают вероятность клинического излечения и снижают риск рецидива туберкулеза [44, 59].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 решению ВК фаза интенсивной терапии и общий курс химиотерапии могут быть сокращены (до 15 - 17 месяцев) в случаях хорошей положительной клинико-рентгенологической динамики процесса и отрицательных анализах мокроты на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пациентам с туберкулезом по РХТ МЛУ ТБ при известной устойчивости к изониазиду** и рифампицину** и неизвестной чувствительности МБТ к другим препаратам назначать схему лечения не менее</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чем из четырех ПТП с вероятной </w:t>
      </w:r>
      <w:r w:rsidRPr="00C44A1E">
        <w:rPr>
          <w:rFonts w:ascii="Times New Roman" w:hAnsi="Times New Roman" w:cs="Times New Roman"/>
          <w:sz w:val="24"/>
          <w:szCs w:val="24"/>
        </w:rPr>
        <w:lastRenderedPageBreak/>
        <w:t xml:space="preserve">высокой эффективностью: #левофлоксацин (15 - 20 мг/кг/сут) **/#моксифлоксацин** (10 - 15 мг/кг/сут),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#линезолид** (15 мг/кг/сут при весе 1 - 15 кг, 10 - 12 мг/кг/сут при весе &gt;= 15 кг), циклосерин** старше 3 лет - согласно инструкции/#циклосерин** (15 - 20 мг/кг/сут при весе от 7 до 30 кг, 10 - 15 мг/</w:t>
      </w:r>
      <w:proofErr w:type="gramStart"/>
      <w:r w:rsidRPr="00C44A1E">
        <w:rPr>
          <w:rFonts w:ascii="Times New Roman" w:hAnsi="Times New Roman" w:cs="Times New Roman"/>
          <w:sz w:val="24"/>
          <w:szCs w:val="24"/>
        </w:rPr>
        <w:t>кг/сут при весе от 30 и более кг) или #теризидон** (15 - 20 мг/кг/сут при весе от 7 до 30 кг, 10 - 15 мг/кг/сут при весе от 30 и более кг) и/или протионамид** (детям с 3 лет согласно инструкции)/#протионамид** 15 - 20 мг/кг/этионамид** (детям с 3 лет согласно инструкции), #этионамид** 15 - 20 мг</w:t>
      </w:r>
      <w:proofErr w:type="gramEnd"/>
      <w:r w:rsidRPr="00C44A1E">
        <w:rPr>
          <w:rFonts w:ascii="Times New Roman" w:hAnsi="Times New Roman" w:cs="Times New Roman"/>
          <w:sz w:val="24"/>
          <w:szCs w:val="24"/>
        </w:rPr>
        <w:t>/</w:t>
      </w:r>
      <w:proofErr w:type="gramStart"/>
      <w:r w:rsidRPr="00C44A1E">
        <w:rPr>
          <w:rFonts w:ascii="Times New Roman" w:hAnsi="Times New Roman" w:cs="Times New Roman"/>
          <w:sz w:val="24"/>
          <w:szCs w:val="24"/>
        </w:rPr>
        <w:t>кг</w:t>
      </w:r>
      <w:proofErr w:type="gramEnd"/>
      <w:r w:rsidRPr="00C44A1E">
        <w:rPr>
          <w:rFonts w:ascii="Times New Roman" w:hAnsi="Times New Roman" w:cs="Times New Roman"/>
          <w:sz w:val="24"/>
          <w:szCs w:val="24"/>
        </w:rPr>
        <w:t>/сут (способ применения, доза препаратов #левофлоксацин**, #моксифлоксацин**, #бедаквилин**, #линезолид**, #теризидон**, протионамид** и этионамид**,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При невозможности сформировать режим ХТ из вышеуказанных препаратов или отдельные препараты не могут быть использованы, для формирования полного режима рекомендуется использовать следующие препараты: этамбутол**/#этамбутол** (15 - 25 мг/кг/сут), пиразинамид**/#пиразинамид** (30 - 40 мг/кг/сут), аминосалициловая кислота** (200 - 300 мг/кг/сут), #деламанид** (25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(способ применения, доза препаратов #этамбутол**, #пиразинамид** и #деламанид**, длительность применения у детей см. в Приложении А3, таблица 9) (препараты группы C)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Препарат #амикацин** (15 - 25 мг/кг/сут) (способ применения, доза препаратов #амикацин** и #капреомицин**, длительность применения у детей см. в Приложении А3, таблица 9), при условии сохранения к ним чувствительности МБТ, для достижения излечения рекомендуется назначать в отдельных случаях, при невозможности формирования полного режима ХТ из других препаратов, по решению ВК с целью излечения [83,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Инъекционный препарат назначают в фазу интенсивной терапии по решению ВК на срок не более 3 месяцев. С осторожностью назначают инъекционные препараты детям, особенно раннего возраста, из-за частых побочных проявлений на данные препараты [44].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в фазу интенсивной терапии при РХТ МЛУ ТБ с целью излечения назначать 5 (не менее 4 эффективных) препаратов с сохраненной чувствительностью к ним возбудителя для элиминации возбудителя [83]. Препаратами выбора в фазу </w:t>
      </w:r>
      <w:r w:rsidRPr="00C44A1E">
        <w:rPr>
          <w:rFonts w:ascii="Times New Roman" w:hAnsi="Times New Roman" w:cs="Times New Roman"/>
          <w:sz w:val="24"/>
          <w:szCs w:val="24"/>
        </w:rPr>
        <w:lastRenderedPageBreak/>
        <w:t xml:space="preserve">интенсивной терапии являются #левофлоксацин** (15 - 20 мг/кг/сут) или #моксифлоксацин** (10 - 15 мг/кг/сут),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#линезолид** (15 мг/кг/сут при весе 1 - 15 кг, 10 - 12 мг/кг/сут при весе &gt;= 15 кг), циклосерин** старше 3 лет - согласно инструкции/#циклосерин** (15 - 20 мг/кг/сут при весе от 7 до 30 кг, 10 - 15 мг/</w:t>
      </w:r>
      <w:proofErr w:type="gramStart"/>
      <w:r w:rsidRPr="00C44A1E">
        <w:rPr>
          <w:rFonts w:ascii="Times New Roman" w:hAnsi="Times New Roman" w:cs="Times New Roman"/>
          <w:sz w:val="24"/>
          <w:szCs w:val="24"/>
        </w:rPr>
        <w:t>кг/сут при весе от 30 и более кг) или #теризидон** (15 - 20 мг/кг/сут при весе от 7 до 30 кг, 10 - 15 мг/кг/сут при весе от 30 и более кг)).</w:t>
      </w:r>
      <w:proofErr w:type="gramEnd"/>
      <w:r w:rsidRPr="00C44A1E">
        <w:rPr>
          <w:rFonts w:ascii="Times New Roman" w:hAnsi="Times New Roman" w:cs="Times New Roman"/>
          <w:sz w:val="24"/>
          <w:szCs w:val="24"/>
        </w:rPr>
        <w:t xml:space="preserve"> Из инъекционных препаратов - #амикацин** (15 - 25 мг/кг/сут) (при сохраненной к нему чувствительности). </w:t>
      </w:r>
      <w:proofErr w:type="gramStart"/>
      <w:r w:rsidRPr="00C44A1E">
        <w:rPr>
          <w:rFonts w:ascii="Times New Roman" w:hAnsi="Times New Roman" w:cs="Times New Roman"/>
          <w:sz w:val="24"/>
          <w:szCs w:val="24"/>
        </w:rPr>
        <w:t>При невозможности составления схемы из предложенных препаратов включают в комбинацию лекарственных средств: этамбутол**/#этамбутол** (15 - 25 мг/кг/сут), пиразинамид**/#пиразинамид** (30 - 40 мг/кг/сут), протионамид** (детям с 3 лет согласно инструкции)/#протионамид** 15 - 20 мг/кг или этионамид** (детям с 3 лет согласно инструкции), #этионамид** 15 - 20 мг/кг/сут) в соответствии с чувствительностью МБТ к тому или</w:t>
      </w:r>
      <w:proofErr w:type="gramEnd"/>
      <w:r w:rsidRPr="00C44A1E">
        <w:rPr>
          <w:rFonts w:ascii="Times New Roman" w:hAnsi="Times New Roman" w:cs="Times New Roman"/>
          <w:sz w:val="24"/>
          <w:szCs w:val="24"/>
        </w:rPr>
        <w:t xml:space="preserve"> иному препарату. Аминосалициловую кислоту**. назначают при невозможности формирования полноценного РХТ из вышеуказанных препаратов [13, 44, 84]. Канамицин** назначают детям осторожно, по жизненным показаниям из-за их высокой токсичности [65].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#Бедаквилин** нежелательно добавлять к неэффективному режиму химиотерапии (сохранение бактериовыделения, отрицательная клинико-рентгенологическая динамика процесса) или при сохранении чувствительности к двум и менее ПТП; по решению ВК по жизненным показаниям продолжительность лечения #бедаквилином** может быть увеличена; возможно одномоментное применение с #левофлоксацином** [66] (способ применения, доза препаратов #левофлоксацин**, #моксифлоксацин**, #бедаквилин**, #линезолид, #теризидон**, #этамбутол** и #капреомицин**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в схемы длительного режима лечения МЛУ ТБ дополнительно по решению ВК включать #деламанид** (25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для стойкого подавления микробной популяции и повышения эффективности лечения (способ применения, доза препарата #деламанид**,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#Деламанид** можно включать в схему ХТ детям в любом возрасте в течение 6 месяцев по решению ВК (способ применения, доза препарата #деламанид**,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в фазу продолжения РХТ МЛУ ТБ назначать четыре (не менее трех эффективных) препарата с сохраненной чувствительностью к ним возбудителя для достижения его элиминации. Комбинация препаратов в фазу продолжения ХТ включает </w:t>
      </w:r>
      <w:r w:rsidRPr="00C44A1E">
        <w:rPr>
          <w:rFonts w:ascii="Times New Roman" w:hAnsi="Times New Roman" w:cs="Times New Roman"/>
          <w:sz w:val="24"/>
          <w:szCs w:val="24"/>
        </w:rPr>
        <w:lastRenderedPageBreak/>
        <w:t>#левофлоксацин** (15 - 20 мг/кг/сут) или #моксифлоксацин** (10 - 15 мг/кг/сут); #</w:t>
      </w:r>
      <w:proofErr w:type="gramStart"/>
      <w:r w:rsidRPr="00C44A1E">
        <w:rPr>
          <w:rFonts w:ascii="Times New Roman" w:hAnsi="Times New Roman" w:cs="Times New Roman"/>
          <w:sz w:val="24"/>
          <w:szCs w:val="24"/>
        </w:rPr>
        <w:t>линезолид** (15 мг/кг/сут при весе 1 - 15 кг, 10 - 12 мг/кг/сут при весе &gt;= 15 кг)) и с учетом чувствительности МБТ: циклосерин** старше 3 лет - согласно инструкции/#циклосерин** (15 - 20 мг/кг/сут при весе от 7 до 30 кг, 10 - 15 мг/кг/сут при весе от 30 и более кг) или #теризидон** (15 - 20 мг</w:t>
      </w:r>
      <w:proofErr w:type="gramEnd"/>
      <w:r w:rsidRPr="00C44A1E">
        <w:rPr>
          <w:rFonts w:ascii="Times New Roman" w:hAnsi="Times New Roman" w:cs="Times New Roman"/>
          <w:sz w:val="24"/>
          <w:szCs w:val="24"/>
        </w:rPr>
        <w:t>/</w:t>
      </w:r>
      <w:proofErr w:type="gramStart"/>
      <w:r w:rsidRPr="00C44A1E">
        <w:rPr>
          <w:rFonts w:ascii="Times New Roman" w:hAnsi="Times New Roman" w:cs="Times New Roman"/>
          <w:sz w:val="24"/>
          <w:szCs w:val="24"/>
        </w:rPr>
        <w:t>кг/сут при весе от 7 до 30 кг, 10 - 15 мг/кг/сут при весе от 30 и более кг), пиразинамид**/#пиразинамид** (30 - 40 мг/кг/сут), протионамид** (детям с 3 лет согласно инструкции)/#протионамид** 15 - 20 мг/кг или этионамид** (детям с 3 лет согласно инструкции), #этионамид** 15 - 20 мг/кг/сут) и/или этамбутол**/#этамбутол** (15 - 25</w:t>
      </w:r>
      <w:proofErr w:type="gramEnd"/>
      <w:r w:rsidRPr="00C44A1E">
        <w:rPr>
          <w:rFonts w:ascii="Times New Roman" w:hAnsi="Times New Roman" w:cs="Times New Roman"/>
          <w:sz w:val="24"/>
          <w:szCs w:val="24"/>
        </w:rPr>
        <w:t xml:space="preserve"> мг/кг/сут) (при подтвержденной чувствительности); аминосалициловая кислота** - при невозможности составить схему лечения из 4 или 3 эффективных препаратов (способ применения, доза препаратов #левофлоксацин**, #моксифлоксацин**, #линезолид**, #теризидон**, #этамбутол**, длительность применения у детей см. в Приложении А3, таблица 9)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На фазу продолжения переходят после эффективного завершения интенсивной фазы в виде положительной клинико-рентгенологической динамики, отсутствия бактериовыделения. При длительности фазы интенсивной терапии 4 мес. прием #бедаквилина** (способ применения, доза препарата #бедаквилин, длительность применения у детей см. в Приложении А3, таблица 9)</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с</w:t>
      </w:r>
      <w:proofErr w:type="gramEnd"/>
      <w:r w:rsidRPr="00C44A1E">
        <w:rPr>
          <w:rFonts w:ascii="Times New Roman" w:hAnsi="Times New Roman" w:cs="Times New Roman"/>
          <w:sz w:val="24"/>
          <w:szCs w:val="24"/>
        </w:rPr>
        <w:t>ледует продолжать до шести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длительный режим химиотерапии проводить при туберкулезе центральной нервной системы (туберкулезном менингите) для достижения излечения [44,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Туберкулезный менингит относится к тяжелым формам внелегочного МЛУ/РУ-ТБ и требует длительного лечения. При лечении менингита следует принимать во внимание способность лекарственных сре</w:t>
      </w:r>
      <w:proofErr w:type="gramStart"/>
      <w:r w:rsidRPr="00C44A1E">
        <w:rPr>
          <w:rFonts w:ascii="Times New Roman" w:hAnsi="Times New Roman" w:cs="Times New Roman"/>
          <w:sz w:val="24"/>
          <w:szCs w:val="24"/>
        </w:rPr>
        <w:t>дств пр</w:t>
      </w:r>
      <w:proofErr w:type="gramEnd"/>
      <w:r w:rsidRPr="00C44A1E">
        <w:rPr>
          <w:rFonts w:ascii="Times New Roman" w:hAnsi="Times New Roman" w:cs="Times New Roman"/>
          <w:sz w:val="24"/>
          <w:szCs w:val="24"/>
        </w:rPr>
        <w:t>оникать через гематоэнцефалический барьер и возникающие в результате этого концентрации в спинномозговой жидкости (СМЖ) (таблица 3). Желательно, чтобы схема лечения включала как минимум 3 ПТП с хорошим проникновением в СМЖ. Добавление #бедаквилина** возможно при наличии легочной формы заболевания одновременно с поражением ЦНС (способ применения, доза препаратов #левофлоксацин**, #моксифлоксацин**, #бедаквилин**, #линезолид, #теризидон**, длительность применения у детей см. в Приложении А3, таблица 9).</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3.1.4 Режим химиотерапии пре-ШЛУ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Пре-ШЛУ ТБ - Туберкулез с множественной лекарственной устойчивостью микобактерий (МЛУ/РУ-ТБ) с дополнительной устойчивостью к фторхинолонам.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при назначении режима химиотерапии пре-ШЛУ туберкулеза лечение пациента проводить длительностью не менее 9 месяцев для полного подавления микробной популяции и предотвращения рецидива [44,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Длительность РХТ пре-ШЛУ ТБ может быть продлена по решению ВК до 15 - 18 мес. в зависимости от тяжести процесса, клинико-рентгенологической динамики.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lastRenderedPageBreak/>
        <w:t>Комбинации препаратов (режимы ХТ)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в фазу интенсивной терапии при РХТ МЛУ-ТБ назначать 5 (не менее 4 эффективных) препаратов с сохраненной чувствительностью к ним возбудителя для элиминации возбудителя [13, 44,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включать #бедаквилин** (Вес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и #деламанид** (25 мг 2 р/д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(способ применения, доза препаратов #бедаквилин** и #деламанид**, длительность применения у детей см. в Приложении А3, таблица 9) в схему лечения пре-ШЛУ ТБ для элиминации возбудителя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#Бедаквилин** и #деламанид** (способ применения, доза препаратов #бедаквилин** и #деламанид**, длительность применения у детей см. в Приложении А3, таблица 9) при совместном применении продемонстрировали эффективность и безопасность в лечении МЛУ туберкулеза у детей, в том числе с дополнительной устойчивостью к фторхинолонам [50].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 решению ВК прием пациентами #бедаквилина** по истечении шести месяцев может быть продолжен (учитывая устойчивость МБТ к фторхинолонам или непереносимость #линезолида** (способ применения, доза препарата #линезолид**, длительность применения у детей см. в Приложении А3, таблица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Продолжительность терапии #деламанидом** (способ применения, доза препарата #деламанид**, длительность применения у детей см. в Приложении А3, таблица 9) составляет 6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назначение #линезолида** (15 мг/кг/сут при весе 1 - 15 кг, 10 - 12 мг/кг/сут при весе &gt;= 15 кг) (способ применения, доза препарата #линезолид**, длительность применения у детей см. в Приложении А3, таблица 9) в составе режима пре-ШЛУ туберкулеза для повышения эффективности 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#Линезолид** является лекарственным средством группы A, при МЛУ/РУ-ТБ с дополнительной устойчивостью к фторхинолонам срок применения #линезолида** можно увеличить до 6 - 9 месяцев или более, если отсутствие или интенсивность нежелательных реакций это позволяет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добавление в схему лечения пре-ШЛУ ТБ #этамбутола** (15 - 25 мг/кг/сут) (способ применения, доза препарата #этамбутол**, длительность применения у детей см. в Приложении А3, таблица 9) и/или пиразинамида** (при сохраненной ЛЧ МБТ к ним у пациента или источника инфекции), если схему терапии не удается составить из достаточного количества действенных лекарственных средств группы</w:t>
      </w:r>
      <w:proofErr w:type="gramStart"/>
      <w:r w:rsidRPr="00C44A1E">
        <w:rPr>
          <w:rFonts w:ascii="Times New Roman" w:hAnsi="Times New Roman" w:cs="Times New Roman"/>
          <w:sz w:val="24"/>
          <w:szCs w:val="24"/>
        </w:rPr>
        <w:t xml:space="preserve"> А</w:t>
      </w:r>
      <w:proofErr w:type="gramEnd"/>
      <w:r w:rsidRPr="00C44A1E">
        <w:rPr>
          <w:rFonts w:ascii="Times New Roman" w:hAnsi="Times New Roman" w:cs="Times New Roman"/>
          <w:sz w:val="24"/>
          <w:szCs w:val="24"/>
        </w:rPr>
        <w:t xml:space="preserve"> и В. Аминосалициловая кислота** (</w:t>
      </w:r>
      <w:proofErr w:type="gramStart"/>
      <w:r w:rsidRPr="00C44A1E">
        <w:rPr>
          <w:rFonts w:ascii="Times New Roman" w:hAnsi="Times New Roman" w:cs="Times New Roman"/>
          <w:sz w:val="24"/>
          <w:szCs w:val="24"/>
        </w:rPr>
        <w:t>150 - 200 мг/кг/сут) может быть включена в схему пре ШЛУ ТБ, когда не удается составить схему на основе четырех или пяти лекарственных средств, для повышения эффективности лечения.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использовать этионамид** старше 3 лет/#этионамид** (15 - 20 мг/кг/сут)/протионамид** старше 3 лет/#протионамид (15 - 20 мг/кг/сут) при отсутствии к ним устойчивости МБТ или подозрений на нее для улучшения результатов 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применение #амикацина** (15 - 25 мг/кг/сут) при сохранении к нему лекарственной чувствительности возбудителя для улучшения результатов лечения.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Применение фторхинолонов возможно при сохранении к одному из них лекарственной чувствительности возбудителя.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фазе продолжения режима химиотерапии пре-ШЛУ туберкулеза необходимо назначение комбинации, одновременно включающей не менее 3 - 4 эффективных противотуберкулезных лекарственных препаратов и антибиотиков с сохраненной или предполагаемой лекарственной чувствительностью возбудителя, для повышения эффективности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Схемы ХТ:</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16"/>
        <w:gridCol w:w="3855"/>
      </w:tblGrid>
      <w:tr w:rsidR="00FC36A5" w:rsidRPr="00CE1395">
        <w:tc>
          <w:tcPr>
            <w:tcW w:w="5216" w:type="dxa"/>
            <w:tcBorders>
              <w:top w:val="single" w:sz="4" w:space="0" w:color="auto"/>
              <w:bottom w:val="single" w:sz="4" w:space="0" w:color="auto"/>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Фаза интенсивной терапии</w:t>
            </w:r>
          </w:p>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4 - 6 #Bdq**-#Lzd**-Cs**/Trd ** -#Dlm**/#Cfz +</w:t>
            </w:r>
          </w:p>
          <w:p w:rsidR="00414991" w:rsidRPr="00C44A1E" w:rsidRDefault="00414991">
            <w:pPr>
              <w:spacing w:after="1" w:line="220" w:lineRule="atLeast"/>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 </w:t>
            </w:r>
            <w:r w:rsidRPr="00C44A1E">
              <w:rPr>
                <w:rFonts w:ascii="Times New Roman" w:hAnsi="Times New Roman" w:cs="Times New Roman"/>
                <w:sz w:val="24"/>
                <w:szCs w:val="24"/>
              </w:rPr>
              <w:t>или</w:t>
            </w:r>
            <w:r w:rsidRPr="00C44A1E">
              <w:rPr>
                <w:rFonts w:ascii="Times New Roman" w:hAnsi="Times New Roman" w:cs="Times New Roman"/>
                <w:sz w:val="24"/>
                <w:szCs w:val="24"/>
                <w:lang w:val="en-US"/>
              </w:rPr>
              <w:t xml:space="preserve"> 2 </w:t>
            </w:r>
            <w:r w:rsidRPr="00C44A1E">
              <w:rPr>
                <w:rFonts w:ascii="Times New Roman" w:hAnsi="Times New Roman" w:cs="Times New Roman"/>
                <w:sz w:val="24"/>
                <w:szCs w:val="24"/>
              </w:rPr>
              <w:t>ПТП</w:t>
            </w:r>
            <w:r w:rsidRPr="00C44A1E">
              <w:rPr>
                <w:rFonts w:ascii="Times New Roman" w:hAnsi="Times New Roman" w:cs="Times New Roman"/>
                <w:sz w:val="24"/>
                <w:szCs w:val="24"/>
                <w:lang w:val="en-US"/>
              </w:rPr>
              <w:t>: Z**, Et**/Pt**, PAS**, Am**, [#Mfx**] [E**]</w:t>
            </w:r>
          </w:p>
        </w:tc>
        <w:tc>
          <w:tcPr>
            <w:tcW w:w="3855" w:type="dxa"/>
            <w:tcBorders>
              <w:top w:val="single" w:sz="4" w:space="0" w:color="auto"/>
              <w:bottom w:val="single" w:sz="4" w:space="0" w:color="auto"/>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Фаза продолжения</w:t>
            </w:r>
          </w:p>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5 - 3 #Bdq**- #Lzd** - #Dlm**/Cfz +</w:t>
            </w:r>
          </w:p>
          <w:p w:rsidR="00414991" w:rsidRPr="00C44A1E" w:rsidRDefault="00414991">
            <w:pPr>
              <w:spacing w:after="1" w:line="220" w:lineRule="atLeast"/>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 </w:t>
            </w:r>
            <w:r w:rsidRPr="00C44A1E">
              <w:rPr>
                <w:rFonts w:ascii="Times New Roman" w:hAnsi="Times New Roman" w:cs="Times New Roman"/>
                <w:sz w:val="24"/>
                <w:szCs w:val="24"/>
              </w:rPr>
              <w:t>ПТП</w:t>
            </w:r>
            <w:r w:rsidRPr="00C44A1E">
              <w:rPr>
                <w:rFonts w:ascii="Times New Roman" w:hAnsi="Times New Roman" w:cs="Times New Roman"/>
                <w:sz w:val="24"/>
                <w:szCs w:val="24"/>
                <w:lang w:val="en-US"/>
              </w:rPr>
              <w:t>: Cs**, Z,** Et**/Pt**, [E**], PAS**,</w:t>
            </w:r>
          </w:p>
        </w:tc>
      </w:tr>
    </w:tbl>
    <w:p w:rsidR="00414991" w:rsidRPr="00C44A1E" w:rsidRDefault="00414991">
      <w:pPr>
        <w:spacing w:after="1" w:line="220" w:lineRule="atLeast"/>
        <w:jc w:val="both"/>
        <w:rPr>
          <w:rFonts w:ascii="Times New Roman" w:hAnsi="Times New Roman" w:cs="Times New Roman"/>
          <w:sz w:val="24"/>
          <w:szCs w:val="24"/>
          <w:lang w:val="en-US"/>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Bdq* назначают на 6 </w:t>
      </w:r>
      <w:proofErr w:type="gramStart"/>
      <w:r w:rsidRPr="00C44A1E">
        <w:rPr>
          <w:rFonts w:ascii="Times New Roman" w:hAnsi="Times New Roman" w:cs="Times New Roman"/>
          <w:sz w:val="24"/>
          <w:szCs w:val="24"/>
        </w:rPr>
        <w:t>мес</w:t>
      </w:r>
      <w:proofErr w:type="gramEnd"/>
      <w:r w:rsidRPr="00C44A1E">
        <w:rPr>
          <w:rFonts w:ascii="Times New Roman" w:hAnsi="Times New Roman" w:cs="Times New Roman"/>
          <w:sz w:val="24"/>
          <w:szCs w:val="24"/>
        </w:rPr>
        <w:t>, по решению ВК можно продлить более 6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Dlm** назначают на 6 месяцев</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Короткий 6-месячный режим ХТ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детям от 15 лет и старше для лечения пре-ШЛУ ТБ применение 6-ти месячной схемы, состоящей из #бедаквилина**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#претоманида (200 мг 1 р/день), #линезолида** (600 мг/сут в первые 16 недель, затем - 300 мг/сут на 8 недель) и #моксифлоцацина** при сохранении чувствительности к нему МБТ с целью излечения [140].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схема ХТ в течение 6 месяцев: #Bdq**-#Pa-Lzd**-#Mfx** - стандартизированный режим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схема ХТ в течение 6 месяцев: #Bdq**-#Pa-#Lzd** (может быть </w:t>
      </w:r>
      <w:proofErr w:type="gramStart"/>
      <w:r w:rsidRPr="00C44A1E">
        <w:rPr>
          <w:rFonts w:ascii="Times New Roman" w:hAnsi="Times New Roman" w:cs="Times New Roman"/>
          <w:sz w:val="24"/>
          <w:szCs w:val="24"/>
        </w:rPr>
        <w:t>продлена</w:t>
      </w:r>
      <w:proofErr w:type="gramEnd"/>
      <w:r w:rsidRPr="00C44A1E">
        <w:rPr>
          <w:rFonts w:ascii="Times New Roman" w:hAnsi="Times New Roman" w:cs="Times New Roman"/>
          <w:sz w:val="24"/>
          <w:szCs w:val="24"/>
        </w:rPr>
        <w:t xml:space="preserve"> до 9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детям от 6 лет и старше для лечения МЛУ ТБ применение 6-ти месячной схемы ХТ, состоящей из #бедаквилина** (Вес &gt;= 16 кг &lt; 30 кг - 200 мг в течение 2 нед.; затем 100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#линезолида** (10 - 12 - 15 мг/кг/сут), #клофазимина (2 - 5 мг/кг (при приеме 1 р/сут), при весе &lt; 24 кг - 3 раза в неделю, при весе &gt; 24 кг - ежедневно), #деламанида** (25 мг 2 р/д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с целью излечения (способ применения, доза препарата, длительность применения у детей см. в Приложении А3, таблица 9) [141].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Схема ХТ: #Bdq** #Lzd** #Cfz #Dlm** (альтернатива режиму BPaL(M)).</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лекарственной устойчивости МБТ к фторхинолонам в схему ХТ включают #клофазимин. При замедленной динамике лечение можно продлить до 9 мес.</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3.1.5 Режим химиотерапии ШЛУ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ШЛУ ТБ - туберкулез, вызванный штаммами M. tuberculosis complex с широкой лекарственной устойчивостью</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лечение пациентов по режиму химиотерапии ШЛУ-ТБ проводить длительностью 18 - 20 мес. для достижения излечения: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фаза интенсивной терапии - 6 - 8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фаза продолжения лечения - 12 месяцев [13,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Детям химиотерапию по режиму ШЛУ-ТБ назначают </w:t>
      </w:r>
      <w:proofErr w:type="gramStart"/>
      <w:r w:rsidRPr="00C44A1E">
        <w:rPr>
          <w:rFonts w:ascii="Times New Roman" w:hAnsi="Times New Roman" w:cs="Times New Roman"/>
          <w:sz w:val="24"/>
          <w:szCs w:val="24"/>
        </w:rPr>
        <w:t>при</w:t>
      </w:r>
      <w:proofErr w:type="gramEnd"/>
      <w:r w:rsidRPr="00C44A1E">
        <w:rPr>
          <w:rFonts w:ascii="Times New Roman" w:hAnsi="Times New Roman" w:cs="Times New Roman"/>
          <w:sz w:val="24"/>
          <w:szCs w:val="24"/>
        </w:rPr>
        <w:t xml:space="preserve"> установленной ШЛУ МБТ у пациента, либо из контакта с больным туберкулезом с доказанной широкой лекарственной устойчивостью МБТ.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Общая продолжительность лечения может быть изменена в соответствии с ответом пациента на терапию: длительность лечения для пациентов с ограниченными неосложненными процессами, с хорошей положительной динамикой может быть сокращена до 15 - 17 месяцев [44].</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4"/>
        <w:rPr>
          <w:rFonts w:ascii="Times New Roman" w:hAnsi="Times New Roman" w:cs="Times New Roman"/>
          <w:sz w:val="24"/>
          <w:szCs w:val="24"/>
        </w:rPr>
      </w:pPr>
      <w:r w:rsidRPr="00C44A1E">
        <w:rPr>
          <w:rFonts w:ascii="Times New Roman" w:hAnsi="Times New Roman" w:cs="Times New Roman"/>
          <w:b/>
          <w:sz w:val="24"/>
          <w:szCs w:val="24"/>
        </w:rPr>
        <w:t>Комбинации препаратов (режимы ХТ)</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в интенсивную фазу химиотерапии при установленной ШЛУ-МБТ назначать не менее пяти препаратов с охраненной чувствительностью к ним МБТ для достижения излечения [13, 44, 83, 84, 139].</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 Рекомендуется пациентам в интенсивной фазе лечения по режиму ШЛУ ТБ назначать: #бедаквилин** (вес &gt;= 3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Вес &gt;= 10 кг &lt; 15 кг - 60 мг в течение 2 нед.; затем 20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Вес &gt;= 16 кг &lt; 30 кг - 200 мг в течение 2 нед.; затем 100 мг 3 р/нед. (пн, ср, пт) в течение 22 недель; Вес &gt;= 30 кг - 400 мг ежедневно в первые 2 недели, затем 200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или #линезолид** (10 - 12 - 15 мг/кг/сут) (в зависимости от лекарственной чувствительности и устойчивости), #левофлоксацин** (10 - 20 мг/кг/сут)/#моксифлоксацин** (10 - 15 мг/кг/сут) (при подтвержденной или предполагаемой ЛЧ к одному из них) для достижения излечения (способ применения, доза препаратов #бедаквилин**, #линезолид**, #левофлоксацин** и #моксифлоксацин**, длительность применения у детей см. в Приложении А3, таблица 9) [13, 44,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К основным препаратам с целью лечения ШЛУ-ТБ рекомендуется добавить с учетом чувствительности препараты: #деламанид** (25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/д (вес &gt; 10 кг и &lt; 16 кг); 50 мг утром и 25 мг вечером (вес &gt;= 16 кг, &lt; 30 кг) 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 100 мг 2 р/д (вес &gt;= 35 кг)), циклосерин** старше 3 лет - согласно инструкции/#циклосерин** (15 - 20 мг/кг/сут при весе от 7 до 30 кг, 10 - 15 мг/кг/сут при весе от 30 и более кг) или #</w:t>
      </w:r>
      <w:proofErr w:type="gramStart"/>
      <w:r w:rsidRPr="00C44A1E">
        <w:rPr>
          <w:rFonts w:ascii="Times New Roman" w:hAnsi="Times New Roman" w:cs="Times New Roman"/>
          <w:sz w:val="24"/>
          <w:szCs w:val="24"/>
        </w:rPr>
        <w:t>теризидон** (15 - 20 мг/кг/сут при весе от 7 до 30 кг, 10 - 15 мг/кг/сут при весе от 30 и более кг), #амикацин** (15 - 25 мг/кг/сут) (при сохраненной чувствительности), пиразинамид**/#пиразинамид** (до 3 лет) (30 - 40 мг/кг), этамбутол**/#этамбутол** до 13 лет (15 - 25 мг/кг/сут), протионамид**/#протионамид** до 3 лет (15 - 20</w:t>
      </w:r>
      <w:proofErr w:type="gramEnd"/>
      <w:r w:rsidRPr="00C44A1E">
        <w:rPr>
          <w:rFonts w:ascii="Times New Roman" w:hAnsi="Times New Roman" w:cs="Times New Roman"/>
          <w:sz w:val="24"/>
          <w:szCs w:val="24"/>
        </w:rPr>
        <w:t xml:space="preserve"> мг/кг/сут)/этионамид**/#этионамид** до 3 лет (15 - 20 мг/кг/сут), (способ применения, доза препаратов #деламанид**, #теризидон**, #амикацин**, #этамбутол**, длительность применения у детей см. в Приложении А3, таблица 9) [44,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невозможности сформировать режим из 5 вышеуказанных препаратов, рекомендуется в схему лечения следующие препараты: аминосалициловая кислота**; #</w:t>
      </w:r>
      <w:proofErr w:type="gramStart"/>
      <w:r w:rsidRPr="00C44A1E">
        <w:rPr>
          <w:rFonts w:ascii="Times New Roman" w:hAnsi="Times New Roman" w:cs="Times New Roman"/>
          <w:sz w:val="24"/>
          <w:szCs w:val="24"/>
        </w:rPr>
        <w:t>меропенем** (20 - 40 мг/кг каждые 8 часов)/#имипенем+[Циластатин]** (15 мг/кг/сут) совместно с #амоксициллин+клавулановая кислота** (20 - 45 мг/кг (в пересчете на амоксициллин**)) (способ применения, доза препаратов #меропенем**, #имипенем+[Циластатин]**, #амоксициллин+клавулановая кислота**, #капреомицин**, длительность применения у детей см. в Приложении А3, таблица 9) для повышения эффективности лечения [41, 67, 68, 84].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Назначение #бедаквилина** не допускается к неэффективному режиму химиотерапии (сохранение бактериовыделения, отрицательная клинико-рентгенологическая динамика процесса) или при сохранении чувствительности МБТ лишь к двум и менее противотуберкулезным препаратам; применяется в течение 6 месяцев, по решению ВК по жизненным показаниям продолжительность лечения #бедаквилином** (способ применения, доза препарата #бедаквилин**, длительность применения у детей см. в Приложении А3, таблица 9) может быть увеличена (в таблице 4 приведены варианты схемы лечения ШЛУ ТБ).</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 Рекомендуется при лечении пациентов с туберкулезом по режиму химиотерапии ШЛУ ТБ в фазу продолжения терапии назначать 4 препарата (не менее трех эффективных) с включением #моксифлоксацина** (10 - 15 мг/кг/сут) или </w:t>
      </w:r>
      <w:r w:rsidRPr="00C44A1E">
        <w:rPr>
          <w:rFonts w:ascii="Times New Roman" w:hAnsi="Times New Roman" w:cs="Times New Roman"/>
          <w:sz w:val="24"/>
          <w:szCs w:val="24"/>
        </w:rPr>
        <w:lastRenderedPageBreak/>
        <w:t>#левофлоксацина** (15 - 20 мг/кг/сут) (при сохранении чувствительности МБТ), #линезолида** (15 мг/кг/сут при весе 1 - 15 кг, 10 - 12 мг/кг/сут при весе &gt;= 15) (при</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сохраненной</w:t>
      </w:r>
      <w:proofErr w:type="gramEnd"/>
      <w:r w:rsidRPr="00C44A1E">
        <w:rPr>
          <w:rFonts w:ascii="Times New Roman" w:hAnsi="Times New Roman" w:cs="Times New Roman"/>
          <w:sz w:val="24"/>
          <w:szCs w:val="24"/>
        </w:rPr>
        <w:t xml:space="preserve"> ЛЧ МБТ и отсутствии нежелательных реакций) и других препаратов с сохраненной ЛЧ возбудителя для достижения излечения (способ применения, доза препаратов #моксифлоксацин**, #левофлоксацин**, #линезолид**, длительность применения у детей см. в Приложении А3, таблица 9) [83,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назначении химиотерапии пациентам с туберкулезом по любому режиму химиотерапии рекомендуется проводить мониторинг нежелательных реакций на противотуберкулезные препараты и проводить их коррекцию с целью контроля развития нежелательных явлений и их коррекции. Одной из наиболее частых причин прерывания лечения, перехода на индивидуализированные режимы и/или отказа пациента от лечения являются неблагоприятные побочные реакции применяемых химиотерапевтических средств [44,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3.2. Хирургическое лечение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пациентам с туберкулезом органов дыхания выполнить оперативный этап лечения при отсутствии эффекта от консервативного лечения (сохранения каверны в легочной ткани), при наличии выраженных остаточных изменений после спонтанного излечения первичного туберкулеза (конгломераты кальцинированных внутригрудных лимфатических узлов). Хирургическое лечение является компонентом комплексного лечения туберкулеза с целью излечения [69].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Вопрос о возможности и сроках проведения хирургического вмешательства решается ВК с участием врача-фтизиатра, врача-хирурга и врача-анестезиолога-реаниматолога (с согласия родителей/законного представителя) до начала химиотерапии и в период химиотерапии.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Основные принципы оптимального сочетания химиотерапии и хирургического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активном туберкулезе органов дыхания химиотерапия перед проведением плановой операции должна продолжаться не менее 6 месяцев (в отдельных случаях - 4 месяцев), в случае туберкуломы - не менее 2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Режим химиотерапии должен оставаться непрерывным, за исключением одного или двух первых дней раннего послеоперационного периода.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послеоперационном периоде продолжается или возобновляется интенсивная фаза терапии, длительность которой определяется ВК.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Длительность химиотерапии в послеоперационном периоде должна составлять не менее 3 месяцев при туберкулезе с сохраненной лекарственной чувствительностью возбудителя, 6 месяцев - при наличии мон</w:t>
      </w:r>
      <w:proofErr w:type="gramStart"/>
      <w:r w:rsidRPr="00C44A1E">
        <w:rPr>
          <w:rFonts w:ascii="Times New Roman" w:hAnsi="Times New Roman" w:cs="Times New Roman"/>
          <w:sz w:val="24"/>
          <w:szCs w:val="24"/>
        </w:rPr>
        <w:t>о-</w:t>
      </w:r>
      <w:proofErr w:type="gramEnd"/>
      <w:r w:rsidRPr="00C44A1E">
        <w:rPr>
          <w:rFonts w:ascii="Times New Roman" w:hAnsi="Times New Roman" w:cs="Times New Roman"/>
          <w:sz w:val="24"/>
          <w:szCs w:val="24"/>
        </w:rPr>
        <w:t xml:space="preserve"> или полирезистентности МБТ, не менее 6 - 12 месяцев - при МЛУ/пре-ШЛУ/ШЛУ ТБ. При неизвестной лекарственной чувствительности возбудителя длительность химиотерапии в послеоперационном периоде должна составлять не менее 6 месяцев.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Общая длительность химиотерапии пациента, страдающего туберкулезом, определяется режимом химиотерапии в соответствии с результатом ЛЧ возбудителя, в том числе по результатам из операционного материала.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3.3. Иное лечение</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3.3.1 Коллапсотерапия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Управляемый коллапс предполагает создание охранительных условий для пораженного органа или его части в виде уменьшения эластического напряжения легкого и частичном сближении стенок каверны, а также способствует возникновению висцеро-висцеральных рефлексов, приводящих к снижению тонуса эластических и гладкомышечных элементов легкого, что способствует рубцеванию полостей распада и абацилированию пациента.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пациентам с туберкулезом органов дыхания метод коллапсотерапии (наложение пневмоперитонеума, клапанной бронхоблокации) применять у подростков и детей старшего возраста при наличии деструкции в легочной ткани для создания охранительных условий для пораженного органа [70].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к методам коллапсотерапии относят:</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Искусственный пневмоторакс (ИП) - метод лечения туберкулеза легких, заключающийся во введении через иглу воздуха в грудную клетку между париетальным и висцеральным листками плевры.</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Пневмоперитонеум (ПП) - метод лечения туберкулеза легких, заключающийся во введении через иглу воздуха в брюшную полость.</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Клапанная</w:t>
      </w:r>
      <w:proofErr w:type="gramEnd"/>
      <w:r w:rsidRPr="00C44A1E">
        <w:rPr>
          <w:rFonts w:ascii="Times New Roman" w:hAnsi="Times New Roman" w:cs="Times New Roman"/>
          <w:sz w:val="24"/>
          <w:szCs w:val="24"/>
        </w:rPr>
        <w:t xml:space="preserve"> бронхоблокация (КББ) - метод создания лечебной гиповентиляции в пораженном участке легкого с сохранением дренажной функции бронха путем установки в его просвет эндобронхиального клапана (ЭК).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пациентам с туберкулезом органов дыхания выполнение ИП у подростков для достижения излечения (по решению ЦВКК, индивидуально):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наличии сформированных каверн без выраженной перикавитарной инфильтрации,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инфильтративном, кавернозном и ограниченном диссеминированном туберкулезе легких у пациентов при непереносимости основных противотуберкулезных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лекарственной устойчивости МБТ, сопутствующих заболеваниях, ограничивающих проведение адекватной химиотерапии, кровохарканьи.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двустороннем инфильтративном, кавернозном, ограниченном диссеминированном и фиброзно-кавернозном туберкулезе с целью уменьшения остроты и распространенности процесса и подготовки пациента к хирургическому лечению на стороне противоположного легкого (на стороне наименьшего поражения) [69, 135, 136].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Комментарии: ИП назначают только по показаниям с обязательной консультацией врача - торакального хирурга. Противопоказаниями к ИП являются: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Клинические формы туберкулеза: казеозная пневмония, цирротический туберкулез легких, экссудативный и адгезивный плеврит на стороне наложения ИП.</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При кавернах: размерами более 6 см., расположенных в цирротических участках легкого, примыкающих к плевре.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Общие противопоказания: активный туберкулез бронха на стороне поражения; активное воспаление бронхов любой природы; стеноз бронха 2 - 3 степени; эмфизема легких; дыхательная недостаточность II - III степени; бронхообструктивный синдром;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пациентам с туберкулезом органов дыхания наложение пневмоперитонеума у подростков для достижения излечения </w:t>
      </w:r>
      <w:proofErr w:type="gramStart"/>
      <w:r w:rsidRPr="00C44A1E">
        <w:rPr>
          <w:rFonts w:ascii="Times New Roman" w:hAnsi="Times New Roman" w:cs="Times New Roman"/>
          <w:sz w:val="24"/>
          <w:szCs w:val="24"/>
        </w:rPr>
        <w:t>при</w:t>
      </w:r>
      <w:proofErr w:type="gramEnd"/>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деструктивных </w:t>
      </w:r>
      <w:proofErr w:type="gramStart"/>
      <w:r w:rsidRPr="00C44A1E">
        <w:rPr>
          <w:rFonts w:ascii="Times New Roman" w:hAnsi="Times New Roman" w:cs="Times New Roman"/>
          <w:sz w:val="24"/>
          <w:szCs w:val="24"/>
        </w:rPr>
        <w:t>процессах</w:t>
      </w:r>
      <w:proofErr w:type="gramEnd"/>
      <w:r w:rsidRPr="00C44A1E">
        <w:rPr>
          <w:rFonts w:ascii="Times New Roman" w:hAnsi="Times New Roman" w:cs="Times New Roman"/>
          <w:sz w:val="24"/>
          <w:szCs w:val="24"/>
        </w:rPr>
        <w:t xml:space="preserve"> в нижних долях легких независимо от клинической формы;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кровохарканьи [69].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выполнении ПП введенный в брюшную полость газ вызывает висцеро-висцеральный рефлекс, спадение легкого, подъем диафрагмы, усиление реберно-диафрагмального дыхания, повышение лимфотока, улучшение кровообращения, усиление окислительных процессов.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Противопоказания к ПП:</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облитерация дренирующего бронха в процессе заживления каверны и образование "блокированной" каверны;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милиарный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дыхательная недостаточность II - III степени;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воспалительные изменения в брюшной полости, грыжи белой линии, паховые грыжи, перерастянутый брюшной пресс;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активный туберкулез органов малого таза;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ранний послеоперационный период на органах брюшной полости.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пациентам с туберкулезом органов дыхания проведение </w:t>
      </w:r>
      <w:proofErr w:type="gramStart"/>
      <w:r w:rsidRPr="00C44A1E">
        <w:rPr>
          <w:rFonts w:ascii="Times New Roman" w:hAnsi="Times New Roman" w:cs="Times New Roman"/>
          <w:sz w:val="24"/>
          <w:szCs w:val="24"/>
        </w:rPr>
        <w:t>клапанной</w:t>
      </w:r>
      <w:proofErr w:type="gramEnd"/>
      <w:r w:rsidRPr="00C44A1E">
        <w:rPr>
          <w:rFonts w:ascii="Times New Roman" w:hAnsi="Times New Roman" w:cs="Times New Roman"/>
          <w:sz w:val="24"/>
          <w:szCs w:val="24"/>
        </w:rPr>
        <w:t xml:space="preserve"> бронхоблокации у подростков с деструктивным туберкулезом легких для достижения излечения при: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длительно незакрывающейся деструкции при адекватной химиотерапии;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состояниях и/или обстоятельствах (непереносимость противотуберкулезных препаратов,</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сопутствующих </w:t>
      </w:r>
      <w:proofErr w:type="gramStart"/>
      <w:r w:rsidRPr="00C44A1E">
        <w:rPr>
          <w:rFonts w:ascii="Times New Roman" w:hAnsi="Times New Roman" w:cs="Times New Roman"/>
          <w:sz w:val="24"/>
          <w:szCs w:val="24"/>
        </w:rPr>
        <w:t>заболеваниях</w:t>
      </w:r>
      <w:proofErr w:type="gramEnd"/>
      <w:r w:rsidRPr="00C44A1E">
        <w:rPr>
          <w:rFonts w:ascii="Times New Roman" w:hAnsi="Times New Roman" w:cs="Times New Roman"/>
          <w:sz w:val="24"/>
          <w:szCs w:val="24"/>
        </w:rPr>
        <w:t>, повышающих риски неэффективного лечения и/или рецидива туберкулеза [70].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Уровень убедительности рекомендаций C (уровень достоверности доказательств 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Комментарий: технология КББ применяется для лечения тонкостенных каверн и полостей распада без выраженной перифокальной инфильтрации при диссеминированном, кавернозном и фиброзно-кавернозном туберкулезе. Метод основан на создании лечебной гиповентиляции в пораженном участке легкого (локальный коллапс легкого) при сохраненной дренажной функции, что достигается путем установки в просвет дренирующего бронха (сегментарного и крупнее) эндогенного клапана (</w:t>
      </w:r>
      <w:proofErr w:type="gramStart"/>
      <w:r w:rsidRPr="00C44A1E">
        <w:rPr>
          <w:rFonts w:ascii="Times New Roman" w:hAnsi="Times New Roman" w:cs="Times New Roman"/>
          <w:sz w:val="24"/>
          <w:szCs w:val="24"/>
        </w:rPr>
        <w:t>ЭК</w:t>
      </w:r>
      <w:proofErr w:type="gramEnd"/>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Противопоказания к проведению КББ: воспалительные заболевания бронхов, рубцовый стеноз бронхов [1, 41, 70].</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3.4. Превентивное лечение (химиопрофилактика)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проводить превентивное лечение противотуберкулезными препаратами детям из групп повышенного риска заболевания для предупреждения развития туберкулеза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Превентивное лечение - применение противотуберкулезных препаратов лицам без признаков туберкулеза, но с повышенным риском его развития, для снижения вероятности развития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Туберкулезная инфекция (ТИ) - состояние стойкого иммунного ответа, обусловленного присутствием МБТ в организме человека, обусловливая положительную реакцию на аллергены бактерий**, не связанную с вакцинацией, при отсутствии клинических и рентгенологических признаков заболевания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"Золотого стандарта" диагностики, позволяющего прямым методом выявлять у людей инфекцию, вызванную Mycobacterium tuberculosis, не существует. У подавляющего большинства инфицированных лиц нет признаков или симптомов туберкулеза, но есть риск развития его активной формы [84, 130]. </w:t>
      </w:r>
      <w:proofErr w:type="gramStart"/>
      <w:r w:rsidRPr="00C44A1E">
        <w:rPr>
          <w:rFonts w:ascii="Times New Roman" w:hAnsi="Times New Roman" w:cs="Times New Roman"/>
          <w:sz w:val="24"/>
          <w:szCs w:val="24"/>
        </w:rPr>
        <w:t>Состояние инфицирования МБТ (без признаков активности) можно определить в случае, если иммунный ответ подтверждается лишь иммунодиагностикой с применением внутрикожной пробы с туберкулезным аллергеном (с аллергенами бактерий** (проба Манту с 2ТЕ)), при отрицательном результате более современных тестов: лабораторные тесты на высвобождение гамма-интерферона (IGRA-тесты), внутрикожная проба с туберкулезным аллергеном (аллергеном туберкулезным рекомбинантным в стандартном разведении**).</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Наличие же положительного ответа на исследование уровня интерферона-гамма на антигены Mycobacterium tuberculosis complex в крови (IGRA-тесты), внутрикожной пробы с туберкулезным аллергеном (с АТР**), наряду с ответом на внутрикожную пробу с туберкулезным аллергеном с аллергенами бактерий**, может свидетельствовать об активности туберкулезной инфекции (ЛТИ) и уже определять показания для назначения превентивного противотуберкулезного лечения [153, 154].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Перед назначением превентивного лечения рекомендуется тестирование на наличие туберкулезной инфекции с целью определения показаний для его проведения [84, 130].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Комментарии: для выявления туберкулезной инфекции и латентной туберкулезной инфекции внутрикожную пробу с туберкулезным аллергеном (с аллергенами бактерий**, </w:t>
      </w:r>
      <w:r w:rsidRPr="00C44A1E">
        <w:rPr>
          <w:rFonts w:ascii="Times New Roman" w:hAnsi="Times New Roman" w:cs="Times New Roman"/>
          <w:sz w:val="24"/>
          <w:szCs w:val="24"/>
        </w:rPr>
        <w:lastRenderedPageBreak/>
        <w:t>с АТР** и/или исследование уровня интерферона-гамма в крови в ответ на воздействие специфических туберкулезных антигенов (IGRA-тест).</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 детей с ВИЧ-инфекцией; детей, получающих иммуносупрессивную терапию; истощенных с тяжелым заболеванием может быть отрицательный результат на любые пробы, что не исключает наличие туберкулезной инфекции или заболевания туберкулезом у таких детей.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Профилактическому лечению подлежат (при условии исключения туберкулеза - см. раздел 2 - диагностика):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дети и подростки с положительными реакциями на АТР** или альтернативные тесты in vitro (IGRA) (дети с ЛТИ);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дети и подростки из контакта с больными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дети и подростки с ВИЧ-инфекцией при наличии иммунодефицита независимо от результата иммунодиагностических проб;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дети и подростки, начинающие терапию иммунодепрессантами (селективные иммунодепрессанты, генно-инженерные биологические препараты (ГИБП) (ингибиторы фактора некроза опухоли альфа (ФНО-альфа), ингибиторы интерлейкина и др.)), находящиеся на диализе, готовящиеся к трансплантации органов или пересадке костного мозга независимо от результата иммунодиагностических проб;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Показания для проведения превентивной химиотерапии больным, получающим ГИБП:</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ТИ (положительная внутрикожная проба с туберкулезным аллергеном с аллергенами бактерий** (Манту) при условии, что ранее превентивная химиотерапия не проводилась или проводилась 2 и более года назад;</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ЛТИ при положительной положительная внутрикожная проба с туберкулезным аллергеном с АТР** или положительного результата исследования интерферона-гамма в крови в ответ на воздействие специфических туберкулезных антигенов независимо от ранее проведенной превентивной химиотерапии;</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посттуберкулезных изменений у перенесших туберкулез и клинически излечившихся в ходе комплексного лечения или указаний о перенесенном в прошлом активном туберкулезе любой локализации независимо от проведенного ранее противотуберкулезного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контакта с больным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Проведение превентивной противотуберкулезной химиотерапии не является противопоказанием для лечения ГИБП.</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Превентивная противотуберкулезная химиотерапия проводится однократно, в последующем - по показаниям по решению ВК.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превентивного лечения применение схем, содержащих эффективные препараты: изониазид** (5 - 15 мг/кг/сут) и #рифампицин** (10 - 20 мг/кг/сут) (способ применения, доза препарата #рифампицин**, длительность применения у детей см. в таблицах 5, 6); либо сочетание препаратов первого ряда [84, 130, 131].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Эффективность имеющихся в настоящее время схем профилактического лечения туберкулеза (ПЛТ) составляет 60 - 90% [84]. Повторные курсы профилактического лечения назначают по показаниям (по ситуации, например, при ВИЧ-инфекции) по решению ВК.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большей приверженности пациентов лечению проводить короткие курсы превентивного лечения [84, 130].</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Уровень убедительности рекомендаций C (уровень достоверности доказательств 5.</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для проведения превентивного лечения у детей преимущественно использовать схему с изониазидом** (5 - 15 мг/кг/сут) и #рифампицином** (10 - 20 мг/кг/сут) (способ применения, доза препарата #рифампицин**, длительность применения у детей см. в таблице 6) в течение 3 мес. - 3HR, которая отличается от 6-мес или 9-мес. схемы с изониазидом** (6H и 9H) лучшей переносимостью, меньшей длительностью и большей</w:t>
      </w:r>
      <w:proofErr w:type="gramEnd"/>
      <w:r w:rsidRPr="00C44A1E">
        <w:rPr>
          <w:rFonts w:ascii="Times New Roman" w:hAnsi="Times New Roman" w:cs="Times New Roman"/>
          <w:sz w:val="24"/>
          <w:szCs w:val="24"/>
        </w:rPr>
        <w:t xml:space="preserve"> приверженностью лечению [84, 131].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детей, живущих с ВИЧ и получающих противовирусные препараты прямого действия, 6-месячная схема терапии изониазидом** для предупреждения развития туберкулеза (6H)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Лечение туберкулезной инфекции условно можно разделить на две категории: 1) монотерапия изониазидом** в течение 6 или 9 месяцев; 2) укороченный режим профилактического лечения на основе #рифампицина**, при условии, что конкретный штамм МБТ чувствителен к этим препаратам.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Лечение в течение 3 мес. изониазидом** (5 - 15 мг/кг/сут) и #рифампицином** (10 - 20 мг/кг/сут) (способ применения, доза препарата #рифампицин**, длительность применения у детей см. в таблице 6) (3HR) является предпочтительным вариантом профилактического лечения. Для детей, живущих с ВИЧ, изониазид** в течение 6 мес. (6H) остается пока основным вариантом (с учетом совместимости антиретровирусных и противотуберкулезных препаратов)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Схемы профилактического лечения и дозы препаратов представлены в таблице 5 и таблице 6 соответственно.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назначение комбинированного противотуберкулезного препарата #изониазид + пиразинамид + рифампицин** детям более 7 кг в дозе 10 мг/кг по рифампицину** [84, 129] для проведения профилактического лечения [84, 130]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впервые выявленных посттуберкулезных остаточных изменениях (VI</w:t>
      </w:r>
      <w:proofErr w:type="gramStart"/>
      <w:r w:rsidRPr="00C44A1E">
        <w:rPr>
          <w:rFonts w:ascii="Times New Roman" w:hAnsi="Times New Roman" w:cs="Times New Roman"/>
          <w:sz w:val="24"/>
          <w:szCs w:val="24"/>
        </w:rPr>
        <w:t>б</w:t>
      </w:r>
      <w:proofErr w:type="gramEnd"/>
      <w:r w:rsidRPr="00C44A1E">
        <w:rPr>
          <w:rFonts w:ascii="Times New Roman" w:hAnsi="Times New Roman" w:cs="Times New Roman"/>
          <w:sz w:val="24"/>
          <w:szCs w:val="24"/>
        </w:rPr>
        <w:t xml:space="preserve"> гр. диспансерного наблюдения) по решению ВК можно назначать диспергируемый КПФД.</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для проведения превентивного лечения у детей от 2 до 14 лет использовать схему с изониазидом** (5 - 15 мг/кг/сут) и #рифапентином 1 раз в неделю (10 - &lt; 16 кг - 300 мг 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нед, 16 - &lt; 24 кг - 450 мг 1 р нед, 24 - &lt; 31 600 мг 1 р нед, 31 и более - 750 мг 1 р нед. в течение 3 мес. 1 раз в неделю для предупреждения развития туберкулеза (3HP)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Рекомендуется для проведения превентивного лечения у детей 14 лет и старше использовать схему с изониазидом** (5 - 15 мг/кг/сут) и #рифапентином 1 раз в неделю (900 мг/сут) 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нед. в течение 3 мес. 1 раз в неделю для предупреждения развития туберкулеза (3HP)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для проведения превентивного лечения у детей с 13 лет использовать схему с изониазидом** (300 мг/сут) и #рифапентином ежедневно (вес более 25 кг - 600 мг/сут) в течение 1 мес. для предупреждения развития туберкулеза (1HP)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назначение #пиридоксина (5 - 10 мг ежедневно перорально для детей младше пяти лет; 25 мг ежедневно для детей старше пяти лет) (Вит.</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B6) при лечении схемами, содержащими изониазид**, для профилактики развития периферической нейропатии [84, 129, 130].</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Комментарии: Побочным эффектом длительного лечения изониазидом** является </w:t>
      </w:r>
      <w:proofErr w:type="gramStart"/>
      <w:r w:rsidRPr="00C44A1E">
        <w:rPr>
          <w:rFonts w:ascii="Times New Roman" w:hAnsi="Times New Roman" w:cs="Times New Roman"/>
          <w:sz w:val="24"/>
          <w:szCs w:val="24"/>
        </w:rPr>
        <w:t>периферическая</w:t>
      </w:r>
      <w:proofErr w:type="gramEnd"/>
      <w:r w:rsidRPr="00C44A1E">
        <w:rPr>
          <w:rFonts w:ascii="Times New Roman" w:hAnsi="Times New Roman" w:cs="Times New Roman"/>
          <w:sz w:val="24"/>
          <w:szCs w:val="24"/>
        </w:rPr>
        <w:t xml:space="preserve"> нейропатия, развивающаяся вследствие дефицита витамина B6 (пиридоксина) при лечении. При риске развития периферической нейропатии (лицам с нарушением питания, ВИЧ-инфекцией, почечной недостаточностью, сахарным диабетом, др.) необходимо дополнительно назначать #пиридоксин (витамин B6) на время прохождения курса терапии (5 - 10 мг ежедневно для детей младше пяти лет; 25 мг ежедневно для детей старше пяти лет) [84, 130]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профилактического лечения детям и подросткам из очагов туберкулезной инфекции с МЛУ-ТБ, для снижения заболеваемости МЛУ-ТБ [132].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профилактическое лечение детям, контактировавшим с больными МЛУ-ТБ, назначается исходя из лекарственной чувствительности и устойчивости МБТ у предполагаемого источника [84, 139].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 решению ВК, при строгом контроле медицинского работника (условия санатория, реабилитационного центра, видеоконтролируемое лечение) превентивное лечение у детей из контакта с больным МЛУ, пре-ШЛУ и ШЛУ ТБ может быть проведено противотуберкулезными препаратами, к которым доказана лекарственная чувствительность МБТ у предполагаемого источника, с учетом переносимости.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субтотальной (тотальной) устойчивости МБТ у источника инфекции дети подлежат изоляции из очага инфекции и наблюдению.</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получающим профилактическое лечение, проводить мониторинг нежелательных реакций для повышения эффективности терапии [112, 113].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Возможные нежелательные реакции на противотуберкулезные препараты и их коррекция представлены в Приложении</w:t>
      </w:r>
      <w:proofErr w:type="gramStart"/>
      <w:r w:rsidRPr="00C44A1E">
        <w:rPr>
          <w:rFonts w:ascii="Times New Roman" w:hAnsi="Times New Roman" w:cs="Times New Roman"/>
          <w:sz w:val="24"/>
          <w:szCs w:val="24"/>
        </w:rPr>
        <w:t xml:space="preserve"> А</w:t>
      </w:r>
      <w:proofErr w:type="gramEnd"/>
      <w:r w:rsidRPr="00C44A1E">
        <w:rPr>
          <w:rFonts w:ascii="Times New Roman" w:hAnsi="Times New Roman" w:cs="Times New Roman"/>
          <w:sz w:val="24"/>
          <w:szCs w:val="24"/>
        </w:rPr>
        <w:t xml:space="preserve">, таблицы N 7, 8. Эффективность </w:t>
      </w:r>
      <w:r w:rsidRPr="00C44A1E">
        <w:rPr>
          <w:rFonts w:ascii="Times New Roman" w:hAnsi="Times New Roman" w:cs="Times New Roman"/>
          <w:sz w:val="24"/>
          <w:szCs w:val="24"/>
        </w:rPr>
        <w:lastRenderedPageBreak/>
        <w:t>профилактического лечения оценивается по КТ органов грудной полости пациента каждые 6 мес. в течение 2-х лет.</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7" w:name="P1026"/>
      <w:bookmarkEnd w:id="7"/>
      <w:r w:rsidRPr="00C44A1E">
        <w:rPr>
          <w:rFonts w:ascii="Times New Roman" w:hAnsi="Times New Roman" w:cs="Times New Roman"/>
          <w:sz w:val="24"/>
          <w:szCs w:val="24"/>
        </w:rPr>
        <w:t>Таблица 5. Варианты схем профилактического лечения туберкулеза (ПЛТ)</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rPr>
          <w:rFonts w:ascii="Times New Roman" w:hAnsi="Times New Roman" w:cs="Times New Roman"/>
          <w:sz w:val="24"/>
          <w:szCs w:val="24"/>
        </w:rPr>
        <w:sectPr w:rsidR="00414991" w:rsidRPr="00C44A1E" w:rsidSect="00A01DD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531"/>
        <w:gridCol w:w="2098"/>
        <w:gridCol w:w="1928"/>
        <w:gridCol w:w="1587"/>
        <w:gridCol w:w="1644"/>
      </w:tblGrid>
      <w:tr w:rsidR="00FC36A5" w:rsidRPr="00C44A1E">
        <w:tc>
          <w:tcPr>
            <w:tcW w:w="181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lastRenderedPageBreak/>
              <w:t>параметры</w:t>
            </w:r>
          </w:p>
        </w:tc>
        <w:tc>
          <w:tcPr>
            <w:tcW w:w="8788" w:type="dxa"/>
            <w:gridSpan w:val="5"/>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Схемы ПЛТ [84, 130, 133, 139]</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ПТП</w:t>
            </w:r>
          </w:p>
        </w:tc>
        <w:tc>
          <w:tcPr>
            <w:tcW w:w="15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w:t>
            </w:r>
          </w:p>
        </w:tc>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 #рифампицин**</w:t>
            </w:r>
          </w:p>
        </w:tc>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#рифампицин**</w:t>
            </w:r>
          </w:p>
        </w:tc>
        <w:tc>
          <w:tcPr>
            <w:tcW w:w="158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 #рифапентин</w:t>
            </w:r>
          </w:p>
        </w:tc>
        <w:tc>
          <w:tcPr>
            <w:tcW w:w="164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 #рифапентин</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длительность</w:t>
            </w:r>
          </w:p>
        </w:tc>
        <w:tc>
          <w:tcPr>
            <w:tcW w:w="15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 мес.</w:t>
            </w:r>
          </w:p>
        </w:tc>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 мес.</w:t>
            </w:r>
          </w:p>
        </w:tc>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 мес.</w:t>
            </w:r>
          </w:p>
        </w:tc>
        <w:tc>
          <w:tcPr>
            <w:tcW w:w="158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 мес.</w:t>
            </w:r>
          </w:p>
        </w:tc>
        <w:tc>
          <w:tcPr>
            <w:tcW w:w="164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 мес.</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периодичность</w:t>
            </w:r>
          </w:p>
        </w:tc>
        <w:tc>
          <w:tcPr>
            <w:tcW w:w="15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е/дневно</w:t>
            </w:r>
          </w:p>
        </w:tc>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е/дневно</w:t>
            </w:r>
          </w:p>
        </w:tc>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е/дневно</w:t>
            </w:r>
          </w:p>
        </w:tc>
        <w:tc>
          <w:tcPr>
            <w:tcW w:w="158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е/дневно</w:t>
            </w:r>
          </w:p>
        </w:tc>
        <w:tc>
          <w:tcPr>
            <w:tcW w:w="164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 раз в неделю</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кол-во доз</w:t>
            </w:r>
          </w:p>
        </w:tc>
        <w:tc>
          <w:tcPr>
            <w:tcW w:w="15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180 - 182</w:t>
            </w:r>
          </w:p>
        </w:tc>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84 - 90</w:t>
            </w:r>
          </w:p>
        </w:tc>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120</w:t>
            </w:r>
          </w:p>
        </w:tc>
        <w:tc>
          <w:tcPr>
            <w:tcW w:w="158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28</w:t>
            </w:r>
          </w:p>
        </w:tc>
        <w:tc>
          <w:tcPr>
            <w:tcW w:w="164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12</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примечания</w:t>
            </w:r>
          </w:p>
        </w:tc>
        <w:tc>
          <w:tcPr>
            <w:tcW w:w="15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детям с ВИЧ</w:t>
            </w:r>
          </w:p>
        </w:tc>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 все возрастные группы</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 ВИЧ-АРТ</w:t>
            </w:r>
          </w:p>
        </w:tc>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 все возрастные группы;</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 из очага с ЛУ к H,</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ЛЧ к R</w:t>
            </w:r>
          </w:p>
        </w:tc>
        <w:tc>
          <w:tcPr>
            <w:tcW w:w="158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&gt;= 13 лет</w:t>
            </w:r>
          </w:p>
        </w:tc>
        <w:tc>
          <w:tcPr>
            <w:tcW w:w="164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&gt;= 2 лет</w:t>
            </w:r>
          </w:p>
        </w:tc>
      </w:tr>
      <w:tr w:rsidR="00FC36A5" w:rsidRPr="00C44A1E">
        <w:tc>
          <w:tcPr>
            <w:tcW w:w="1814" w:type="dxa"/>
          </w:tcPr>
          <w:p w:rsidR="00414991" w:rsidRPr="00C44A1E" w:rsidRDefault="00414991">
            <w:pPr>
              <w:spacing w:after="1" w:line="220" w:lineRule="atLeast"/>
              <w:rPr>
                <w:rFonts w:ascii="Times New Roman" w:hAnsi="Times New Roman" w:cs="Times New Roman"/>
                <w:sz w:val="24"/>
                <w:szCs w:val="24"/>
              </w:rPr>
            </w:pPr>
          </w:p>
        </w:tc>
        <w:tc>
          <w:tcPr>
            <w:tcW w:w="8788" w:type="dxa"/>
            <w:gridSpan w:val="5"/>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КПФД (мг)</w:t>
            </w:r>
          </w:p>
        </w:tc>
      </w:tr>
      <w:tr w:rsidR="00FC36A5" w:rsidRPr="00CE1395">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ПТП</w:t>
            </w:r>
          </w:p>
        </w:tc>
        <w:tc>
          <w:tcPr>
            <w:tcW w:w="1531" w:type="dxa"/>
          </w:tcPr>
          <w:p w:rsidR="00414991" w:rsidRPr="00C44A1E" w:rsidRDefault="00414991">
            <w:pPr>
              <w:spacing w:after="1" w:line="220" w:lineRule="atLeast"/>
              <w:rPr>
                <w:rFonts w:ascii="Times New Roman" w:hAnsi="Times New Roman" w:cs="Times New Roman"/>
                <w:sz w:val="24"/>
                <w:szCs w:val="24"/>
              </w:rPr>
            </w:pPr>
          </w:p>
        </w:tc>
        <w:tc>
          <w:tcPr>
            <w:tcW w:w="2098" w:type="dxa"/>
          </w:tcPr>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3 H Z 150/500 </w:t>
            </w:r>
            <w:r w:rsidRPr="00C44A1E">
              <w:rPr>
                <w:rFonts w:ascii="Times New Roman" w:hAnsi="Times New Roman" w:cs="Times New Roman"/>
                <w:sz w:val="24"/>
                <w:szCs w:val="24"/>
              </w:rPr>
              <w:t>или</w:t>
            </w:r>
            <w:r w:rsidRPr="00C44A1E">
              <w:rPr>
                <w:rFonts w:ascii="Times New Roman" w:hAnsi="Times New Roman" w:cs="Times New Roman"/>
                <w:sz w:val="24"/>
                <w:szCs w:val="24"/>
                <w:lang w:val="en-US"/>
              </w:rPr>
              <w:t xml:space="preserve"> 3 HE 150/400</w:t>
            </w:r>
          </w:p>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3 HZR 150/375/150</w:t>
            </w:r>
          </w:p>
        </w:tc>
        <w:tc>
          <w:tcPr>
            <w:tcW w:w="1928" w:type="dxa"/>
          </w:tcPr>
          <w:p w:rsidR="00414991" w:rsidRPr="00C44A1E" w:rsidRDefault="00414991">
            <w:pPr>
              <w:spacing w:after="1" w:line="220" w:lineRule="atLeast"/>
              <w:rPr>
                <w:rFonts w:ascii="Times New Roman" w:hAnsi="Times New Roman" w:cs="Times New Roman"/>
                <w:sz w:val="24"/>
                <w:szCs w:val="24"/>
                <w:lang w:val="en-US"/>
              </w:rPr>
            </w:pPr>
          </w:p>
        </w:tc>
        <w:tc>
          <w:tcPr>
            <w:tcW w:w="1587" w:type="dxa"/>
          </w:tcPr>
          <w:p w:rsidR="00414991" w:rsidRPr="00C44A1E" w:rsidRDefault="00414991">
            <w:pPr>
              <w:spacing w:after="1" w:line="220" w:lineRule="atLeast"/>
              <w:rPr>
                <w:rFonts w:ascii="Times New Roman" w:hAnsi="Times New Roman" w:cs="Times New Roman"/>
                <w:sz w:val="24"/>
                <w:szCs w:val="24"/>
                <w:lang w:val="en-US"/>
              </w:rPr>
            </w:pPr>
          </w:p>
        </w:tc>
        <w:tc>
          <w:tcPr>
            <w:tcW w:w="1644" w:type="dxa"/>
          </w:tcPr>
          <w:p w:rsidR="00414991" w:rsidRPr="00C44A1E" w:rsidRDefault="00414991">
            <w:pPr>
              <w:spacing w:after="1" w:line="220" w:lineRule="atLeast"/>
              <w:rPr>
                <w:rFonts w:ascii="Times New Roman" w:hAnsi="Times New Roman" w:cs="Times New Roman"/>
                <w:sz w:val="24"/>
                <w:szCs w:val="24"/>
                <w:lang w:val="en-US"/>
              </w:rPr>
            </w:pPr>
          </w:p>
        </w:tc>
      </w:tr>
    </w:tbl>
    <w:p w:rsidR="00414991" w:rsidRPr="00C44A1E" w:rsidRDefault="00414991">
      <w:pPr>
        <w:spacing w:after="1" w:line="220" w:lineRule="atLeast"/>
        <w:jc w:val="both"/>
        <w:rPr>
          <w:rFonts w:ascii="Times New Roman" w:hAnsi="Times New Roman" w:cs="Times New Roman"/>
          <w:sz w:val="24"/>
          <w:szCs w:val="24"/>
          <w:lang w:val="en-US"/>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Примечание: 1HP - один месяц изониазида** и #рифапентина ежедневно; 3HP - три месяца изониазида** и #рифапентина еженедельно; 3HR - месяца изониазида** и #рифампицина** ежедневно; 6H - шесть месяцев изониазида** ежедневно; КПФД - комбинированный препарат с фиксированными дозами.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8" w:name="P1075"/>
      <w:bookmarkEnd w:id="8"/>
      <w:r w:rsidRPr="00C44A1E">
        <w:rPr>
          <w:rFonts w:ascii="Times New Roman" w:hAnsi="Times New Roman" w:cs="Times New Roman"/>
          <w:sz w:val="24"/>
          <w:szCs w:val="24"/>
        </w:rPr>
        <w:t>Таблица 6. Дозы препаратов для рекомендованных схем профилактического лечения [84].</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5592"/>
        <w:gridCol w:w="1725"/>
        <w:gridCol w:w="1634"/>
      </w:tblGrid>
      <w:tr w:rsidR="00FC36A5" w:rsidRPr="00C44A1E">
        <w:tc>
          <w:tcPr>
            <w:tcW w:w="181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препарат</w:t>
            </w:r>
          </w:p>
        </w:tc>
        <w:tc>
          <w:tcPr>
            <w:tcW w:w="5592"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доза (мг/кг)</w:t>
            </w:r>
          </w:p>
        </w:tc>
        <w:tc>
          <w:tcPr>
            <w:tcW w:w="1725"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диапазон доз</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(мг/кг)</w:t>
            </w:r>
          </w:p>
        </w:tc>
        <w:tc>
          <w:tcPr>
            <w:tcW w:w="163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макс. сут. доза (мг)</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(внутрь)</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#Рифампицин** (R)</w:t>
            </w:r>
          </w:p>
        </w:tc>
        <w:tc>
          <w:tcPr>
            <w:tcW w:w="559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младше 10 лет - 15 мг/кг/сут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 лет и старше - 10 мг/кг/сут</w:t>
            </w:r>
          </w:p>
        </w:tc>
        <w:tc>
          <w:tcPr>
            <w:tcW w:w="172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10 - 20</w:t>
            </w:r>
          </w:p>
        </w:tc>
        <w:tc>
          <w:tcPr>
            <w:tcW w:w="163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600</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 (H)</w:t>
            </w:r>
          </w:p>
        </w:tc>
        <w:tc>
          <w:tcPr>
            <w:tcW w:w="559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младше 10 лет - 10 мг/кг/сут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 лет и старше - 5 мг/кг/сут</w:t>
            </w:r>
          </w:p>
        </w:tc>
        <w:tc>
          <w:tcPr>
            <w:tcW w:w="172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5 - 15</w:t>
            </w:r>
          </w:p>
        </w:tc>
        <w:tc>
          <w:tcPr>
            <w:tcW w:w="163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600</w:t>
            </w:r>
          </w:p>
        </w:tc>
      </w:tr>
      <w:tr w:rsidR="00FC36A5" w:rsidRPr="00C44A1E">
        <w:tc>
          <w:tcPr>
            <w:tcW w:w="181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#Рифапентин (P) (с 2 летнего возраста)</w:t>
            </w:r>
          </w:p>
        </w:tc>
        <w:tc>
          <w:tcPr>
            <w:tcW w:w="559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10 - &lt; 16 кг - 300 мг 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нед, 16 - &lt; 24 кг - 450 мг 1 р нед, 24 - &lt; 31 600 мг 1 р нед, 31 и более - 750 мг 1 р нед. (от 2 до 14 лет), 14 лет и старше - 900 мг/сут.</w:t>
            </w:r>
          </w:p>
        </w:tc>
        <w:tc>
          <w:tcPr>
            <w:tcW w:w="172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w:t>
            </w:r>
          </w:p>
        </w:tc>
        <w:tc>
          <w:tcPr>
            <w:tcW w:w="163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600 &lt;1&gt;</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900 &lt;2&gt; [84]</w:t>
            </w:r>
          </w:p>
        </w:tc>
      </w:tr>
    </w:tbl>
    <w:p w:rsidR="00414991" w:rsidRPr="00C44A1E" w:rsidRDefault="00414991">
      <w:pPr>
        <w:rPr>
          <w:rFonts w:ascii="Times New Roman" w:hAnsi="Times New Roman" w:cs="Times New Roman"/>
          <w:sz w:val="24"/>
          <w:szCs w:val="24"/>
        </w:rPr>
        <w:sectPr w:rsidR="00414991" w:rsidRPr="00C44A1E">
          <w:pgSz w:w="16838" w:h="11905" w:orient="landscape"/>
          <w:pgMar w:top="1701" w:right="1134" w:bottom="850" w:left="1134" w:header="0" w:footer="0" w:gutter="0"/>
          <w:cols w:space="720"/>
          <w:titlePg/>
        </w:sect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 w:name="P1100"/>
      <w:bookmarkEnd w:id="9"/>
      <w:r w:rsidRPr="00C44A1E">
        <w:rPr>
          <w:rFonts w:ascii="Times New Roman" w:hAnsi="Times New Roman" w:cs="Times New Roman"/>
          <w:sz w:val="24"/>
          <w:szCs w:val="24"/>
        </w:rPr>
        <w:t>&lt;1</w:t>
      </w:r>
      <w:proofErr w:type="gramStart"/>
      <w:r w:rsidRPr="00C44A1E">
        <w:rPr>
          <w:rFonts w:ascii="Times New Roman" w:hAnsi="Times New Roman" w:cs="Times New Roman"/>
          <w:sz w:val="24"/>
          <w:szCs w:val="24"/>
        </w:rPr>
        <w:t>&gt; У</w:t>
      </w:r>
      <w:proofErr w:type="gramEnd"/>
      <w:r w:rsidRPr="00C44A1E">
        <w:rPr>
          <w:rFonts w:ascii="Times New Roman" w:hAnsi="Times New Roman" w:cs="Times New Roman"/>
          <w:sz w:val="24"/>
          <w:szCs w:val="24"/>
        </w:rPr>
        <w:t xml:space="preserve"> детей &gt; 13 лет при режиме 1HP: 600 мг/сут</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0" w:name="P1101"/>
      <w:bookmarkEnd w:id="10"/>
      <w:r w:rsidRPr="00C44A1E">
        <w:rPr>
          <w:rFonts w:ascii="Times New Roman" w:hAnsi="Times New Roman" w:cs="Times New Roman"/>
          <w:sz w:val="24"/>
          <w:szCs w:val="24"/>
        </w:rPr>
        <w:t>&lt;2</w:t>
      </w:r>
      <w:proofErr w:type="gramStart"/>
      <w:r w:rsidRPr="00C44A1E">
        <w:rPr>
          <w:rFonts w:ascii="Times New Roman" w:hAnsi="Times New Roman" w:cs="Times New Roman"/>
          <w:sz w:val="24"/>
          <w:szCs w:val="24"/>
        </w:rPr>
        <w:t>&gt; У</w:t>
      </w:r>
      <w:proofErr w:type="gramEnd"/>
      <w:r w:rsidRPr="00C44A1E">
        <w:rPr>
          <w:rFonts w:ascii="Times New Roman" w:hAnsi="Times New Roman" w:cs="Times New Roman"/>
          <w:sz w:val="24"/>
          <w:szCs w:val="24"/>
        </w:rPr>
        <w:t xml:space="preserve"> детей &gt; 14 лет при режиме 3P: 13 - 30 мг/кг/сут</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3.5. Патогенетическая и симптоматическая терапия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патогенетическая и симптоматическая терапия всем пациентам с распространенным и осложненным туберкулезом органов дыхания для достижения излечения [1, 43].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Патогенетическая и симптоматическая терапия является одним из компонентов комплексного лечения пациентов с туберкулезом и направлена на повышение его эффективности. Обязательным условием назначения любого метода патогенетической терапии является применение его на фоне проводимой химиотерапии. Выбор средства (метода) патогенетической терапии должен быть обоснованным с учетом возраста ребенка, фазы процесса, имеющихся функциональных нарушений.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применение препаратов группы глюкокортикоидов при лечении детей с тяжелыми формами туберкулеза, протекающих с выраженными экссудативными реакциями (милиарный туберкулез, туберкулезный менингит), полисерозитами (плеврит, перикардит, асцит) в течение 2 - 6 недель (в зависимости от тяжести процесса) с постепенным снижением суточной дозы для достижения излечения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назначение гепатопротекторов: препаратов для лечения заболеваний желчевыводящих путей (#урсодезоксихолевая кислота** (10 - 15 мг/кг/сут)), у детей и подростков, получающих терапию по режиму лекарственно-чувствительного туберкулеза, с целью предотвращения и купирования побочных реакций на противотуберкулезные препараты [138].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основные побочные реакции, а также алгоритмы их предупреждения и купирования описаны в приложении А3.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назначение иммуностимуляторов - интерферон альфа-2b** капли назальные (в соответствии с инструкцией) - для лечения и профилактики острой респираторно-вирусной инфекции у детей с туберкулезом органов дыхания [143].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4).</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t>Диетотерапия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Приказом Минздравсоцразвития РФ N 316 от 26.04.2006 года "О внесении изменений в приказ Министерства здравоохранения Российской Федерации от 05.08.2003 года "О мерах по совершенствованию лечебного питания в лечебно-профилактических учреждениях Российской Федерации" для больных туберкулезом используется высокобелковая диета (ВБДт).</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3"/>
        <w:rPr>
          <w:rFonts w:ascii="Times New Roman" w:hAnsi="Times New Roman" w:cs="Times New Roman"/>
          <w:sz w:val="24"/>
          <w:szCs w:val="24"/>
        </w:rPr>
      </w:pPr>
      <w:r w:rsidRPr="00C44A1E">
        <w:rPr>
          <w:rFonts w:ascii="Times New Roman" w:hAnsi="Times New Roman" w:cs="Times New Roman"/>
          <w:b/>
          <w:sz w:val="24"/>
          <w:szCs w:val="24"/>
        </w:rPr>
        <w:lastRenderedPageBreak/>
        <w:t>Обезболивание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случае</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если проведение медицинских манипуляций, связанных с оказанием медицинской помощи детям, может повлечь возникновение болевых ощущений, то такие манипуляции должны проводится с обезболиванием.</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4.1. Санаторно-курортное лечение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Санаторно-курортное лечение включает в себя медицинскую помощь, осуществляемую медицинскими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Санаторно-курортное лечение показано для детей больных туберкулезом, или относящихся к группам риска по заболеванию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относящимся к группам повышенного риска заболевания туберкулезом, с целью активации защитно-приспособительных реакций организма, профилактики развития туберкулеза и оздоровления проведение курса химиопрофилактики (курса превентивного противотуберкулезного лечения) в условиях контролируемого приема противотуберкулезных препаратов в противотуберкулезном санатории [145, 146];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детям и подросткам с ограниченным туберкулезом (без подозрения на МЛУ/РУ-ТБ или доказательств его наличия) с целью восстановления и (или) компенсации функций организма, нарушенных вследствие заболевания туберкулезом, этиотропного или хирургического лечения, уменьшения риска обострения или рецидива туберкулеза, предупреждения инвалидности, назначение противотуберкулезных препаратов в фазе продолжения лечения в условиях противотуберкулезного санатория [146, 147].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Комментарий: Санаторно-курортное лечение в противотуберкулезных санаториях может осуществляться </w:t>
      </w:r>
      <w:proofErr w:type="gramStart"/>
      <w:r w:rsidRPr="00C44A1E">
        <w:rPr>
          <w:rFonts w:ascii="Times New Roman" w:hAnsi="Times New Roman" w:cs="Times New Roman"/>
          <w:sz w:val="24"/>
          <w:szCs w:val="24"/>
        </w:rPr>
        <w:t>в качестве одного из этапов медицинской реабилитации у больных туберкулезом детей за счет подавления жизнеспособности возбудителя туберкулеза на основе</w:t>
      </w:r>
      <w:proofErr w:type="gramEnd"/>
      <w:r w:rsidRPr="00C44A1E">
        <w:rPr>
          <w:rFonts w:ascii="Times New Roman" w:hAnsi="Times New Roman" w:cs="Times New Roman"/>
          <w:sz w:val="24"/>
          <w:szCs w:val="24"/>
        </w:rPr>
        <w:t xml:space="preserve"> использования природных лечебных ресурсов, в том числе в условиях пребывания в лечебно-оздоровительных местностях и на курортах, применения антибактериальных и противотуберкулезных лекарственных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Продолжительность санаторно-курортного лечения по профилю "фтизиатрия" определяется индивидуально врачебной комиссией.</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детям с положительной реакцией на аллерген туберкулезный рекомбинатный в стандартном разведении** (АТР), положительным результатом тестов in vitro, основанных на оценке высвобождения T-лимфоцитами гамма-интерферона (IGRA-тесты) (VI ГДН) проведение профилактического противотуберкулезного лечения в условиях санатория сроком от 1 до 6 месяцев с целью активации защитно-</w:t>
      </w:r>
      <w:r w:rsidRPr="00C44A1E">
        <w:rPr>
          <w:rFonts w:ascii="Times New Roman" w:hAnsi="Times New Roman" w:cs="Times New Roman"/>
          <w:sz w:val="24"/>
          <w:szCs w:val="24"/>
        </w:rPr>
        <w:lastRenderedPageBreak/>
        <w:t>приспособительных реакций организма, профилактики развития туберкулеза и оздоровления [146, 147].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B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срок нахождения ребенка в санатории определятся врачебной комиссией с учетом продолжительности курса превентивного противотуберкулезного лечения (Раздел 5, Таблица 5, Приложение А3, таблица 10).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из контакта с бактериовыделителями и больными активной формой туберкулеза, не выделяющими МБТ (IV ГДН) проведение профилактического противотуберкулезного лечения в условиях санатория сроком от 1 до 6 месяцев с целью активации защитно-приспособительных реакций организма, профилактики развития туберкулеза и оздоровления [146, 147].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срок нахождения ребенка в санатории определятся врачебной комиссией с учетом продолжительности курса превентивного противотуберкулезного лечения, а также сроком временной изоляции из очага туберкулеза. (Раздел 5, Таблица 5, Приложение А3, таблица 10).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с клинически излеченным туберкулезом органов дыхания при наличии неспецифических рецидивирующих заболеваний легких, больших остаточных изменений (III ГДН) с целью восстановления функциональных возможностей и трудоспособности, профилактики рецидива заболевания проведение оздоровительных мероприятий (лечебная физкультура, физическими методами) в условиях санатория сроком 1 до 2 месяцев [146, 147].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срок нахождения ребенка в санатории определятся врачебной комиссией с учетом сроков, необходимых для функциональной реабилитации (Приложение А3, таблица 10).</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детям с туберкулезом органов дыхания, внелегочным туберкулезом без бактериовыделения (I ГДН) проведение основного курса лечения (интенсивная фаза и/или фаза продолжения лечения) с целью восстановления функциональных возможностей и трудоспособности, ликвидации признаков активности туберкулеза, достижения клинического излечения, в том числе, по завершению оказания этапа специализированной, в том числе высокотехнологичной, медицинской помощи в условиях санатория сроком от 2 до 6 месяцев</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146, 147].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срок нахождения ребенка в санатории определятся врачебной комиссией с учетом сроков, необходимых для окончания основного курса лечения в зависимости от режима лечения (Приложение А3, таблица 10).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после хирургических вмешательств по поводу туберкулеза органов дыхания (I ГДН) проведение основного курса лечения (интенсивная фаза и/или фаза продолжения лечения) с целью восстановления функциональных возможностей и трудоспособности, ликвидации признаков активности туберкулеза, достижения клинического излечения в условиях санатория сроком от 3 до 6 месяцев [146].</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Уровень убедительности рекомендаций B (уровень достоверности доказательств 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срок определятся врачебной комиссией с учетом продолжительности послеоперационного периода лечения (Приложение А3, таблица 10).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детям больным туберкулезом, вызванным заражением микобактериями вакцинного штамма БЦЖ с поражением костно-суставной системы (осложнениями после введения вакцины БЦЖ) (V ГДН), лечение в условиях санатория сроком от 3 до 6 месяцев с целью восстановления функциональных возможностей и трудоспособности, ликвидации признаков активности туберкулеза, достижения клинического излечения [147, 148].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Противопоказания для направления детей и подростков в санатории: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Туберкулез любой локализации в интенсивную фазу лечения при наличии бактериовыделения, подтвержденного бактериоскопическим, бактериологическим или молекулярно-генетическим методами.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Заболевания в острой и подострой стадии, в том числе острые инфекционные заболевания до окончания периода изоляции.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Хронические заболевания в стадии обострения.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Заразные болезни глаз и кожи.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Паразитарные заболевания.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Злокачественные новообразования, требующие противоопухолевого лечения, в том числе проведения химиотерапии.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 Эпилепсия.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8. Психические расстройства и расстройства поведения в состоянии обострения или нестойкой ремиссии.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9. Неизлечимые прогрессирующие заболевания и состояния, требующие оказания паллиативной медицинской помощи.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4.2. Медицинская реабилитация</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w:t>
      </w:r>
      <w:proofErr w:type="gramEnd"/>
      <w:r w:rsidRPr="00C44A1E">
        <w:rPr>
          <w:rFonts w:ascii="Times New Roman" w:hAnsi="Times New Roman" w:cs="Times New Roman"/>
          <w:sz w:val="24"/>
          <w:szCs w:val="24"/>
        </w:rPr>
        <w:t xml:space="preserve"> снижение степени возможной инвалидности, улучшение качества жизни, сохранение работоспособности пациента и его социальную интеграцию в общество [статья 40 Федерального закона от 21.11.2011 N 323-ФЗ (ред. от 23.07.2025) "Об основах охраны здоровья граждан в Российской Федерации" (с изм. и доп., вступ. в силу с 01.09.2025)].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Медицинская реабилитация детей больных туберкулезом или относящихся к группам риска по заболеванию туберкулезом, осуществляется на основе комплексного применения природных лечебных факторов, лекарственной, немедикаментозной терапии и других методов по основному заболеванию с учетом возрастных и анатомо-физиологических особенностей детей, тяжести течения основного заболевания, реабилитационного потенциала, наличия сопутствующих заболеваний, нарушений мнестико-интеллектуальной сферы.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 ранним реабилитационным мероприятиям относятся физические и физиотерапевтические воздействия, проведение которых возможно в острую стадию болезни.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начинать раннюю реабилитацию одновременно с началом химиотерапевтического лечения в стационаре всем детям, больным туберкулезом или относящимся к группам риска по заболеванию туберкулезом с целью скорейшего купирования туберкулезного процесса, повышения толерантности к нагрузкам, укрепления резервов здоровья [149, 150, 151].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Комментарий: Режим проведения ранней реабилитации групповой, ежедневный на протяжении всего нахождения в стационаре. Длительность и интенсивность занятий определяются в соответствии с возрастом ребенка, уровнем исходной подготовки и имеющимися функциональными нарушениями.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Раннюю реабилитацию назначают по показаниям с обязательной оценкой функциональных проб.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Противопоказания к ранней реабилитации: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остропрогрессирующие формы 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формы ТБ с распадом легочной ткани;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обнаружение МБТ в патологическом материале, полученном от больного;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выраженных симптомов интоксикации, дыхательной недостаточности и других осложнений, требующих индивидуального режима терапии и проведения интенсивного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кровохарканье и легочное кровотечение;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хронических заболеваний, требующих специального лечения, в том числе - с явлениями декомпенсации функции органов;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инфекционных заболеваний (</w:t>
      </w:r>
      <w:proofErr w:type="gramStart"/>
      <w:r w:rsidRPr="00C44A1E">
        <w:rPr>
          <w:rFonts w:ascii="Times New Roman" w:hAnsi="Times New Roman" w:cs="Times New Roman"/>
          <w:sz w:val="24"/>
          <w:szCs w:val="24"/>
        </w:rPr>
        <w:t>острые</w:t>
      </w:r>
      <w:proofErr w:type="gramEnd"/>
      <w:r w:rsidRPr="00C44A1E">
        <w:rPr>
          <w:rFonts w:ascii="Times New Roman" w:hAnsi="Times New Roman" w:cs="Times New Roman"/>
          <w:sz w:val="24"/>
          <w:szCs w:val="24"/>
        </w:rPr>
        <w:t xml:space="preserve"> и хронические);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наличие злокачественных новообразований;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эпилепсия, нарушения психомоторного развития и другие заболевания центральной нервной системы, требующие индивидуального ухода и режима.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Медицинская реабилитация детей больных туберкулезом или относящихся к группам риска по заболеванию туберкулезом, может реализовываться в следующих условиях: амбулаторно (в условиях, не предусматривающих круглосуточного медицинского наблюдения и лечения), в том числе на дому; в дневном стационаре, в </w:t>
      </w:r>
      <w:r w:rsidRPr="00C44A1E">
        <w:rPr>
          <w:rFonts w:ascii="Times New Roman" w:hAnsi="Times New Roman" w:cs="Times New Roman"/>
          <w:sz w:val="24"/>
          <w:szCs w:val="24"/>
        </w:rPr>
        <w:lastRenderedPageBreak/>
        <w:t>условиях, предусматривающих медицинское наблюдение и лечение в дневное время, но не требующих круглосуточного медицинского наблюдения и лечения, а также стационарно (в условиях, обеспечивающих круглосуточное медицинское наблюдение и лечение).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всем пациентам включить в план реабилитационных мероприятий на всем протяжении лечения оказание социально-педагогической помощи пациенту, а также социально-психологическую поддержку семьи для формирования приверженности к лечению, и, следовательно, быстрому восстановлению функциональных возможностей организма [152].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Комментарий: Реабилитация в лечебно-реабилитационном центре (ЛРЦ) осуществляется врачами различных специальностей, педагогами, психологами в составе мультидисциплинарной реабилитационной команды (далее - МРК), с формированием индивидуального плана медицинской реабилитации (далее - ИПМ), динамическим наблюдением в течение всего периода лечения, оценкой эффективности проведенных лечебно-реабилитационных мероприятий по окончании лечения.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bookmarkStart w:id="11" w:name="P1183"/>
      <w:bookmarkEnd w:id="11"/>
      <w:r w:rsidRPr="00C44A1E">
        <w:rPr>
          <w:rFonts w:ascii="Times New Roman" w:hAnsi="Times New Roman" w:cs="Times New Roman"/>
          <w:b/>
          <w:sz w:val="24"/>
          <w:szCs w:val="24"/>
        </w:rPr>
        <w:t>5. Профилактика и диспансерное наблюдение, медицинские показания и противопоказания к применению методов профилактики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5.1. Диспансерное наблюдение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диспансерное наблюдение (диспансерный прием (осмотр, консультация) врача-фтизиатра) всех пациентов в течение длительного времени (2 - 4 года, в отдельных случаях до 17 лет включительно), которое позволяет проводить профилактические мероприятия в группах риска по заболеванию, своевременно выявлять заболевание; предупреждать развитие осложнений, обострений и рецидива туберкулеза; осуществлять контроль лечения и проводить медицинскую реабилитацию, что в конечном итоге способствует улучшению эпидемической ситуации по туберкулезу [1, 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Формирование групп диспансерного учета детей, их обследование, лечение и сроки наблюдения осуществляется в соответствии с Приказом Минздрава РФ от 13.03.2019 N 127н &lt;2&gt;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&lt;2&gt; Приказ Минздрава РФ от 13.03.2019 N 127н "Порядок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Диспансерному наблюдению подлежат: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 лица с подозрением на туберкулез (0 ГДН, код по МКБ 10 - Z03.0);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 больные туберкулезом, получающие лечение по любому режиму химиотерапии туберкулеза; (I ГДН, код по МКБ 10 - A15 - A19);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в) больные туберкулезом, у которых не проводится курс </w:t>
      </w:r>
      <w:proofErr w:type="gramStart"/>
      <w:r w:rsidRPr="00C44A1E">
        <w:rPr>
          <w:rFonts w:ascii="Times New Roman" w:hAnsi="Times New Roman" w:cs="Times New Roman"/>
          <w:sz w:val="24"/>
          <w:szCs w:val="24"/>
        </w:rPr>
        <w:t>химиотерапии</w:t>
      </w:r>
      <w:proofErr w:type="gramEnd"/>
      <w:r w:rsidRPr="00C44A1E">
        <w:rPr>
          <w:rFonts w:ascii="Times New Roman" w:hAnsi="Times New Roman" w:cs="Times New Roman"/>
          <w:sz w:val="24"/>
          <w:szCs w:val="24"/>
        </w:rPr>
        <w:t xml:space="preserve"> и излечение которых не может быть достигнуто (II ГДН, код по МКБ 10 - A15 - A19);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г) лица, излеченные от туберкулеза (III ГДН, код по МКБ B90.9);</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д) лица, находящиеся или находившиеся в контакте с источником туберкулеза, - лица, которые по месту жительства, месту пребывания (нахождения), месту работы или учебы, месту отбывания наказания либо в месте содержания под стражей, работники медицинских противотуберкулезных организаций, находящиеся или находившиеся в профессиональном контакте с источником туберкулеза, лица, находящееся или находившееся в контакте с больным туберкулезом сельскохозяйственным животным (IV ГДН, код по МКБ</w:t>
      </w:r>
      <w:proofErr w:type="gramEnd"/>
      <w:r w:rsidRPr="00C44A1E">
        <w:rPr>
          <w:rFonts w:ascii="Times New Roman" w:hAnsi="Times New Roman" w:cs="Times New Roman"/>
          <w:sz w:val="24"/>
          <w:szCs w:val="24"/>
        </w:rPr>
        <w:t xml:space="preserve"> Z20.1);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е) дети, больные туберкулезом, вызванным заражением микобактериями вакцинного штамма вакцины для профилактики туберкулеза, с генерализованными поражениями, дети, больные туберкулезом, вызванным заражением микобактериями вакцинного штамма вакцины для профилактики туберкулеза, с локальными поражениями (V ГДН, код по МКБ 10 - Y58.0);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ж) дети с подозрением на туберкулез, установленным на основании иммунодиагностики (дети с измененной чувствительностью иммунологических проб к аллергенам туберкулезным) (VIA ГДН, код по МКБ R76.1 - при туберкулезной инфекции, Z22.7 - при латентной туберкулезной инфекции);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з) дети, перенесшие туберкулез, с впервые выявленными остаточными посттуберкулезными изменениями (VI</w:t>
      </w:r>
      <w:proofErr w:type="gramStart"/>
      <w:r w:rsidRPr="00C44A1E">
        <w:rPr>
          <w:rFonts w:ascii="Times New Roman" w:hAnsi="Times New Roman" w:cs="Times New Roman"/>
          <w:sz w:val="24"/>
          <w:szCs w:val="24"/>
        </w:rPr>
        <w:t>Б</w:t>
      </w:r>
      <w:proofErr w:type="gramEnd"/>
      <w:r w:rsidRPr="00C44A1E">
        <w:rPr>
          <w:rFonts w:ascii="Times New Roman" w:hAnsi="Times New Roman" w:cs="Times New Roman"/>
          <w:sz w:val="24"/>
          <w:szCs w:val="24"/>
        </w:rPr>
        <w:t xml:space="preserve"> ГДН, код по МКБ B90.9).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Группы по установлению диспансерного наблюдения формирует врач-фтизиатр (врач-фтизиатр участковый) на основании проведенного обследования в соответствии с Порядком &lt;3&gt; оказания медицинской помощи пациентов с туберкулезом и профессиональным стандартом &lt;4&gt;.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&lt;3&gt; Приказ Министерства здравоохранения Российской Федерации от 15 ноября 2012 г. N 932н (https://normativ.kontur.ru/document?moduleId=1&amp;documentId=211554#l0) "Об утверждении Порядка оказания медицинской помощи больным туберкулезом" (зарегистрирован Министерством юстиции Российской Федерации 7 марта 2013 г., регистрационный N 27557).</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&lt;4&gt; Приказ Министерства труда и социальной защиты РФ от 31 октября 2018 г. N 684н "Об утверждении профессионального стандарта "Врач-фтизиатр"</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Сроки наблюдения определяются в зависимости от выраженности остаточных посттуберкулезных изменений и факторов риска реактивации процесса.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 остаточным посттуберкулезным изменениям относят: плотные кальцинированные очаги и фокусы различной величины, фиброзно-рубцовые и цирротические изменения (в том числе с остаточными санированными полостями), плевральные наслоения, послеоперационные изменения в легких, плевре, и других органах и тканях, функциональные отклонения после клинического излечения.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Малые остаточные изменения - единичные (до 3 см), мелкие (до 1 см), плотные и обызвествленные очаги (в том числе лимфатические узлы), ограниченный фиброз (в пределах 1 - 2 сегментов).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Отягощающие факторы (факторы риска) - факторы, способствующие снижению устойчивости организма к туберкулезной инфекции: ВИЧ-инфекция, сопутствующие заболевания, длительное лечение иммносупрессивными препаратами [1, 4, 9, 12].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общего (клинического) анализа крови, общего (клинического) анализа мочи детям, состоящим на диспансерном наблюдении в связи с клиническим излечением туберкулеза, не реже 1 раза в 6 месяцев с целью контроля переносимости лечения и оценки его эффективности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прицельной рентгенографии легких детям, состоящим на диспансерном наблюдении в связи с клиническим излечением туберкулеза любых локализаций, не реже 1 раза в 6 месяцев с целью оценки его эффективности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При появлении подозрения на обострение/рецидив заболевания обследование проводится в соответствии с разделом 2 клинических рекомендаций.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внутрикожной пробы с туберкулезным аллергеном с использованием АТР** детям, состоящим на диспансерном наблюдении в связи с клиническим излечением туберкулеза, не реже 1 раза в 6 месяцев для оценки эффективности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Рекомендуется консультация прием (осмотр, консультация) врача-травматолога-ортопеда первичный (повторный) или прием (осмотр, консультация) врача-невролога первичный (повторный) или прием (осмотр, консультация) врача-офтальмолога первичный (повторный) детям, состоящим на диспансерном наблюдении в связи с клиническим излечением туберкулеза внелегочных локализаций, в V группе диспансерного наблюдения не реже 1 раза в 6 месяцев [1, 2, 114].</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общего (клинического) анализа крови, общего (клинического) анализа мочи детям, состоящим на диспансерном наблюдении в связи с контактом с больными туберкулезом, не реже 1 раза в 6 месяцев для диагностики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прицельной рентгенографии легких детям, состоящим на диспансерном наблюдении в связи с контактом с больными туберкулезом, не реже 1 раза в 6 месяцев для диагностики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внутрикожной пробы с туберкулезным аллергеном с использованием АТР** детям, состоящим на диспансерном наблюдении в связи с контактом с больными туберкулезом, не реже 1 раза в 6 месяцев для диагностики ЛТИ и контроля эффективности превентивного лечения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Рекомендуется проведение общего (клинического) анализа крови, общего (клинического) анализа мочи анализ крови биохимический общетерапевтический детям, получающим профилактическое противотуберкулезное лечение, не реже 1 раза в 1 месяц с целью оценки переносимости превентивного лечения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Комментарии: профилактическое противотуберкулезное лечение проводится в соответствии с установленными требованиями к безопасности оказания медицинской помощи.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общего (клинического) анализа крови, общего (клинического) анализа мочи детям, состоящим на диспансерном наблюдении в V, VI группах диспансерного наблюдения, не реже 1 раза в 6 месяцев с целью оценки переносимости превентивного лечения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прицельной рентгенографии грудной клетки детям, состоящим на диспансерном наблюдении в V, VI группах диспансерного наблюдения, не реже 1 раза в год и при снятии с диспансерного наблюдения для оценки эффективности профилактики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Рекомендуется проведение внутрикожной пробы с туберкулезным аллергеном с использованием АТР** детям, состоящим на диспансерном наблюдении в V, VI группах диспансерного наблюдения, не реже 1 раза в 6 месяцев для оценки эффективности профилактики [1, 2, 114].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Уровень убедительности рекомендаций C (уровень достоверности доказательств 5).</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5.2. Профилактика, медицинские показания и противопоказания к применению методов профилактики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Медицинские профилактические мероприятия проводят с целью уменьшить риск инфицирования микобактериями здоровых людей, ограничить распространение туберкулезной инфекции, предупредить заболевание у инфицированных лиц, рано выявить туберкулез у заболевших.</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Различают социальную, санитарную и специфическую профилактику туберкулеза [1, 8, 34, 43].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Профилактика туберкулеза в настоящее время складывается из комплекса мероприятий и основывается на требованиях, изложенных в Постановлении Главного государственного санитарного врача РФ от 28.01.2021 N 4 "Об утверждении санитарных правил и норм СанПиН 3.3686-21" в разделе "Профилактика туберкулеза" &lt;5&gt;.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&lt;5&gt;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Санитарные правила и нормы...")</w:t>
      </w:r>
      <w:proofErr w:type="gramEnd"/>
      <w:r w:rsidRPr="00C44A1E">
        <w:rPr>
          <w:rFonts w:ascii="Times New Roman" w:hAnsi="Times New Roman" w:cs="Times New Roman"/>
          <w:sz w:val="24"/>
          <w:szCs w:val="24"/>
        </w:rPr>
        <w:t xml:space="preserve"> (Зарегистрировано в Минюсте России 15.02.2021 N 62500)</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 мерам социальной профилактики относят: оздоровление условий труда и быта;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формирование здорового образа жизни; нормативную регуляцию миграции; борьба с алкоголизмом и наркоманией, социальную поддержку малоимущих, бездомных, прибывших из мест лишения свободы;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Под санитарной профилактикой понимают планомерную организацию и проведение системы санитарно-гигиенических и профилактических мероприятий, направленных на предохранение здоровых людей от заражения и заболевания туберкулезом. К санитарной профилактике относятся меры по ограждению наиболее угрожаемых контингентов населения от пациентов с заразными формами туберкулеза и ограничение допуска лиц, пациентов с туберкулезом, к работе в некоторых профессиях. Вторая составляющая санитарной профилактики - социальные, противоэпидемические и лечебные мероприятия в очагах туберкулезной инфекции. Лица с туберкулезом, должны быть изолированы из очага туберкулезной инфекции. После изоляции источника в очаге проводится заключительная дезинфекция. За контактными лицами устанавливается диспансерное наблюдение.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Третьей составляющей санитарной профилактики является санитарно-просветительная работа среди населения.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Специфическая профилактика туберкулеза включает: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 иммунизацию вакциной для профилактики туберкулеза** (БЦЖ, БЦЖ-М);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 химиопрофилактику (превентивное лечение).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Специфическую профилактику туберкулеза можно проводить только зарегистрированными в России препаратами - вакциной для профилактики туберкулеза** (БЦЖ, БЦЖ-М). Вакцинация против туберкулеза проводится вакциной БЦЖ или БЦЖ-М, а ревакцинация - вакциной для профилактики туберкулеза** (БЦЖ) в соответствии с календарем профилактических прививок. Сроки вакцинации определяются Национальным календарем профилактических прививок.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В соответствии с действующими нормативно-правовыми документами медицинские работники, осуществляющие вакцинопрофилактику инфекционных болезней, должны не менее 1 раза в 2 года проходить </w:t>
      </w:r>
      <w:proofErr w:type="gramStart"/>
      <w:r w:rsidRPr="00C44A1E">
        <w:rPr>
          <w:rFonts w:ascii="Times New Roman" w:hAnsi="Times New Roman" w:cs="Times New Roman"/>
          <w:sz w:val="24"/>
          <w:szCs w:val="24"/>
        </w:rPr>
        <w:t>обучение по вопросам</w:t>
      </w:r>
      <w:proofErr w:type="gramEnd"/>
      <w:r w:rsidRPr="00C44A1E">
        <w:rPr>
          <w:rFonts w:ascii="Times New Roman" w:hAnsi="Times New Roman" w:cs="Times New Roman"/>
          <w:sz w:val="24"/>
          <w:szCs w:val="24"/>
        </w:rPr>
        <w:t xml:space="preserve"> организации и проведения профилактических прививок. </w:t>
      </w:r>
      <w:proofErr w:type="gramStart"/>
      <w:r w:rsidRPr="00C44A1E">
        <w:rPr>
          <w:rFonts w:ascii="Times New Roman" w:hAnsi="Times New Roman" w:cs="Times New Roman"/>
          <w:sz w:val="24"/>
          <w:szCs w:val="24"/>
        </w:rPr>
        <w:t>Обучение проходит в рамках дополнительных профессиональных программам повышения квалификации (часть 4 статьи 82 Федерального закона "Об образовании в Российской Федерации" от 29.12.2012 N 273-ФЗ (Закон об образовании)) и осуществляется единовременно и непрерывно, посредством прохождения практики в порядке, установленном образовательной программой и (или) договором об образовании на базе медицинских организаций, в которых располагаются структурные подразделения образовательных и научных организаций (клиническая база</w:t>
      </w:r>
      <w:proofErr w:type="gramEnd"/>
      <w:r w:rsidRPr="00C44A1E">
        <w:rPr>
          <w:rFonts w:ascii="Times New Roman" w:hAnsi="Times New Roman" w:cs="Times New Roman"/>
          <w:sz w:val="24"/>
          <w:szCs w:val="24"/>
        </w:rPr>
        <w:t>), и проводится в соответствии с договором на практику, заключенным в целях реализации дополнительных профессиональных программ медицинского образования (Положение о лицензировании образовательной деятельности, утверждено постановлением Правительства Российской Федерации от 28.10.2013 N 966). Прохождение обучения являться основанием для выдачи справки-допуска к работе после прохождения инструктажа (обучения) на базе противотуберкулезных организаций в установленном порядке.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В медицинской карте в день вакцинации (ревакцинации) врачом должна быть сделана подробная запись о состоянии здоровья ребенка с указанием результатов термометрии, назначением введения вакцины БЦЖ (БЦЖ-М). Медицинская сестра указывает метод введения (в/к), дозу вакцины (0,05 или 0,025), серию, номер, срок годности и изготовителя вакцины. Паспортные данные препарата должны быть лично прочитаны врачом на упаковке и на ампуле с вакциной. Перед вакцинацией (ревакцинацией) врач и медицинская сестра должны обязательно ознакомиться с инструкцией по применению вакцины, а также предварительно информировать родителей ребенка об иммунизации и возможной местной реакции на прививку БЦЖ, БЖЦ-М (информированное согласие). Проведение вакцинации новорожденным в родильном доме (отделении патологии новорожденных) допускается в детской палате в присутствии врача. </w:t>
      </w:r>
      <w:proofErr w:type="gramStart"/>
      <w:r w:rsidRPr="00C44A1E">
        <w:rPr>
          <w:rFonts w:ascii="Times New Roman" w:hAnsi="Times New Roman" w:cs="Times New Roman"/>
          <w:sz w:val="24"/>
          <w:szCs w:val="24"/>
        </w:rPr>
        <w:t>Все необходимые для проведения вакцинации (ревакцинации) БЦЖ, (БЦЖ-М) предметы (столы, биксы, лотки, шкафы и т.д.) должны быть маркированы.</w:t>
      </w:r>
      <w:proofErr w:type="gramEnd"/>
      <w:r w:rsidRPr="00C44A1E">
        <w:rPr>
          <w:rFonts w:ascii="Times New Roman" w:hAnsi="Times New Roman" w:cs="Times New Roman"/>
          <w:sz w:val="24"/>
          <w:szCs w:val="24"/>
        </w:rPr>
        <w:t xml:space="preserve"> Вакцинация в родильном доме проводится в утренние часы. В день вакцинации во избежание контаминации никакие другие парентеральные манипуляции и прививки ребенку не проводятся. В связи с ранней выпиской из акушерских стационаров, предусмотренной приказом Минздрава России от 26.11.97 г. за N 345 "О совершенствовании мероприятий по профилактике внутрибольничных инфекций в акушерских стационарах", при отсутствии противопоказаний вакцинация новорожденных против туберкулеза может проводиться с начала 3-х суток жизни. Выписка возможна через час после вакцинации при отсутствии реакции на нее. Наблюдение за вакцинированными и ревакцинированными детьми, проводят врачи и медицинские сестры в медицинских организациях государственной и муниципальной системы здравоохранения, оказывающих первичную медико-санитарную медицинскую помощь. </w:t>
      </w:r>
      <w:proofErr w:type="gramStart"/>
      <w:r w:rsidRPr="00C44A1E">
        <w:rPr>
          <w:rFonts w:ascii="Times New Roman" w:hAnsi="Times New Roman" w:cs="Times New Roman"/>
          <w:sz w:val="24"/>
          <w:szCs w:val="24"/>
        </w:rPr>
        <w:t>В карте развития ребенка отмечают прививочную реакцию через 1, 3, 6, 12 месяцев с регистрацией размера и характера местной реакции (папула, пустула с образованием корочки, с отделяемым или без него, рубчик, пигментация и т.д.).</w:t>
      </w:r>
      <w:proofErr w:type="gramEnd"/>
      <w:r w:rsidRPr="00C44A1E">
        <w:rPr>
          <w:rFonts w:ascii="Times New Roman" w:hAnsi="Times New Roman" w:cs="Times New Roman"/>
          <w:sz w:val="24"/>
          <w:szCs w:val="24"/>
        </w:rPr>
        <w:t xml:space="preserve"> В случаях возникновения осложнений после введения вакцины БЦЖ и БЦЖ-М сведения о характере осложнений фиксируются в учетных формах N 063/у; N 026/у (например: инфильтрат до 18 мм в диаметре; лимфаденит - 2,0 x 2,0 см, </w:t>
      </w:r>
      <w:proofErr w:type="gramStart"/>
      <w:r w:rsidRPr="00C44A1E">
        <w:rPr>
          <w:rFonts w:ascii="Times New Roman" w:hAnsi="Times New Roman" w:cs="Times New Roman"/>
          <w:sz w:val="24"/>
          <w:szCs w:val="24"/>
        </w:rPr>
        <w:t>со</w:t>
      </w:r>
      <w:proofErr w:type="gramEnd"/>
      <w:r w:rsidRPr="00C44A1E">
        <w:rPr>
          <w:rFonts w:ascii="Times New Roman" w:hAnsi="Times New Roman" w:cs="Times New Roman"/>
          <w:sz w:val="24"/>
          <w:szCs w:val="24"/>
        </w:rPr>
        <w:t xml:space="preserve"> свищем и т.д.). При подозрении на осложнение вакцинации БЦЖ, БЦЖ-М необходима консультация фтизиатра с соответствующим заключением и тактикой ведения ребенка. На все случаи осложнений заполняется карта осложнений на вакцинацию с точным указанием серии, срока годности вакцины БЦЖ или БЦЖ-М и института-изготовителя, которая направляется в центр Роспотребнадзора (района, города, области), контролирующий качество прививок. Копии карт отправляются в 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(127473, Москва, ул. Достоевского, 4, к. 2). Кроме того, сведения о характере осложнений фиксируются в учетных формах N 063/у; N 112/у. Прививки против туберкулеза должны проводиться строго в соответствии с инструкциями к применению вакцин БЦЖ и БЦЖ-М.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Вакцинацию проводят новорожденным в условиях родильного дома при отсутствии противопоказаний, ревакцинацию проводят однократно в 6 - 7 лет &lt;6&gt; при отрицательной реакции на пробу Манту с 2ТЕ.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&lt;6&gt; Приказ Минздрава России от 21.03.2014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6. Организация оказания медицинской помощи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Правила оказания медицинской помощи пациентам с туберкулезом в медицинских организациях устанавливает Порядок оказания медицинской помощи больным туберкулезом &lt;7&gt;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&lt;7&gt; Порядок оказания медицинской помощи больным туберкулезом (утв. приказом (https://base.garant.ru/70340750/) Министерства здравоохранения РФ от 15 ноября 2012 г. N 932н)</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Примечание: Обновленные рекомендации ВОЗ созданы на основе данных, полученных в ходе систематических обзоров.</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Медицинская помощь пациентам с туберкулезом может оказываться в следующих условиях: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амбулаторно (в условиях, не предусматривающих круглосуточное медицинское наблюдение и лечение);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стационарно (в условиях, обеспечивающих круглосуточное медицинское наблюдение и лечение).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Со дня установления диагноза "туберкулез" пациенты подлежат диспансерному наблюдению врачом-фтизиатром в противотуберкулезном диспансере, туберкулезной больнице или Центре. Сроки наблюдения и объем необходимых лечебно-диагностических и противоэпидемических мероприятий определяется с учетом клинической формы туберкулеза, наличия лекарственной устойчивости возбудителя туберкулеза, осложнений, фоновых и сопутствующих заболеваний.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Показания для госпитализации детей в медицинскую организацию с круглосуточным пребыванием (туберкулезную больницу):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активный туберкулез любой локализации для лечения в фазу интенсивной 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туберкулез органов дыхания с бактериовыделением (методом микроскопии, посева);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лекарственно-устойчивый туберкулез (установленный или предполагаемый);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распространенные, деструктивные, осложненные формы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состояния, требующие медицинской помощи по поводу жизнеугрожающих осложнений туберкулеза (в том числе кровохарканье);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необходимость применения специальных методов, в том числе хирургических, для диагностики и дифференциальной диагностики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 туберкулез с сопутствующими заболеваниями и патологическими состояниями, требующими стационарного лечения и наблюдения (ВИЧ-инфекция, сахарный диабет и др.);</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8) подготовка к хирургическому лечению;</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9) сочетание медицинских, эпидемических и социальных показаний к госпитализации.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Показания к выписке пациента из медицинской организации (туберкулезной больницы):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затихающий туберкулез в фазу продолжения 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прекращение бактериовыделения;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закрытие полостей распада (каверн) при туберкулезе легких;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гладкий ранний послеоперационный период (не ранее, чем через 2 недели).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После выписки из туберкулезной больницы пациент продолжает лечение под контролем медицинского работника в амбулаторных условиях, или в условиях дневного стационара, или санатория.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амбулаторных условиях или в условиях дневного стационара могут получать лечение и впервые выявленные пациенты с "малыми" формами туберкулеза органов дыхания без осложнений, с остаточными изменениями после спонтанного излечения; без отягощающих социально-эпидемических факторов (социально-адаптированная семья, изолирован пациент с ТБ взрослый).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Пациенты с туберкулезом, успешно завершившие интенсивную фазу химиотерапии, могут продолжить лечение в условиях туберкулезного санатория &lt;8&gt;.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&lt;8&gt; Приказ МЗ РФ N 932н от 15.11.2012 г. "Об утверждении Порядка оказания медицинской помощи больным туберкулезом", приложение 23 "Правила организации деятельности санатория для лечения туберкулеза всех форм"</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Размещение в ЛРЦ осуществляется с учетом возраста, клинической формы заболевания (состояния), компенсаторно-приспособительных возможностей к адаптации в условиях круглосуточного пребывания.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ЛРЦ должны быть созданы все необходимые условия для реализации видов медицинской помощи, направленных на лечение, реабилитацию и профилактику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Функциями ЛРЦ являются: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проведение контролируемой химиотерапии в фазе продолжения основного курса лечения, в том числе после получения хирургического лечения, для всех категорий пациентов с туберкулезом, а также лечение осложнений вакцинации;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проведение полного основного курса лечения с ограниченными, неосложненными, "малыми" формами туберкулеза без бактериовыделения;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осуществление мероприятий по комплексной реабилитации (полноценной медицинской, социально-педагогической и т.д.) в т.ч. с участием мультидисциплинарной </w:t>
      </w:r>
      <w:r w:rsidRPr="00C44A1E">
        <w:rPr>
          <w:rFonts w:ascii="Times New Roman" w:hAnsi="Times New Roman" w:cs="Times New Roman"/>
          <w:sz w:val="24"/>
          <w:szCs w:val="24"/>
        </w:rPr>
        <w:lastRenderedPageBreak/>
        <w:t>реабилитационной команды, формированием индивидуального плана медицинской реабилитации;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проведение профилактических мероприятий лицам из групп повышенного риска развития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составление и реализация индивидуальных программ медицинской реабилитации и превентивного лечения с туберкулезом и риском его развития;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проведение всех методов медицинской реабилитации (природных лечебных факторов, лекарственной, немедикаментозной терапии, и др.), профилактика осложнений, восстановление функциональных возможностей, повышение качества жизни пациентов с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внедрение в клиническую практику современных методов медицинской реабилитации;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создание условий необходимых для обеспечения непрерывности образовательной деятельности в соответствие со стандартами дошкольного и школьного образования среди детей, находящихся на лечении;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участие в межведомственном взаимодействии с образовательными организациями, осуществляющими психолого-педагогическую реабилитацию, и организациями социальной защиты, осуществляющими социальную реабилитацию, органами правопорядка;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анализ организации, качества оказания и эффективности реабилитационных мероприятий;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сбор и предоставление отчетности в установленном порядке;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ведение федеральных информационных систем, федеральных баз данных пациентов с туберкулезом,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осуществление консультативной и организационно-методической помощи медицинским организациям и населению по вопросам медицинской реабилитации, профилактики туберкулеза, здорового образа жизни.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организация и проведение мероприятий, направленных на обеспечение эпидемической безопасности и недопущение распространения инфекционных и паразитарных заболеваний в ЛРЦ;</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представление отчетности по видам, формам, в сроки и в объеме, которые установлены уполномоченным федеральным органом исполнительной власти,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предоставление первичных данных о медицинской деятельности для информационных систем в сфере здравоохранения;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иные функции в соответствии с законодательством Российской Федерации.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7. Дополнительная информация (в том числе факторы, влияющие на исход заболевания или состояния)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ВИЧ-инфекция является наиболее серьезным из известных факторов риска активации латентной инфекции, вызванной M. tuberculosis. Для ВИЧ-инфицированных лиц риск развития активного туберкулеза составляет 5 - 10% в год, тогда как для людей, не инфицированных ВИЧ, риск равен 5 - 10% на протяжении всей жизни. </w:t>
      </w:r>
      <w:proofErr w:type="gramStart"/>
      <w:r w:rsidRPr="00C44A1E">
        <w:rPr>
          <w:rFonts w:ascii="Times New Roman" w:hAnsi="Times New Roman" w:cs="Times New Roman"/>
          <w:sz w:val="24"/>
          <w:szCs w:val="24"/>
        </w:rPr>
        <w:t>При сопутствующей ВИЧ-инфекции затруднена диагностика туберкулеза у детей тем, что некоторые ВИЧ-ассоциированные заболевания по клинической картине напоминают туберкулез, а иммунологические пробы с антигенами туберкулезными могут быть отрицательными, что может приводить к позднему установлению диагноза [77].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снижении иммунитета нарастает доля пациентов с распространенными процессами. Диссеминированный (генерализованный) туберкулез у детей пациентов с ВИЧ-инфекцией в 20 раз чаще диагностируется при иммунодефиците, чем при отсутствии иммунодефицита [78].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На исход заболевания при сочетанной патологии ТБ + ВИЧ может оказывать влияние и неудовлетворительная переносимость противотуберкулезных препаратов в сочетании с антиретровирусными, усиливающаяся их токсичность [79].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ВИЧ-инфекция также повышает частоту рецидивов ТБ, которая может быть связана с эндогенной реактивацией или с экзогенной реинфекцией [80].</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При проведении диагностических мероприятий, назначении лечения у детей с ВИЧ-инфекцией необходимо учитывать состояние иммунного статуса, приводим таблицу - Классификации иммунных категорий у детей в соответствии с возрастом (Клинические рекомендации "ВИЧ-инфекция у детей", 2022 г, МКБ 10:</w:t>
      </w:r>
      <w:proofErr w:type="gramEnd"/>
      <w:r w:rsidRPr="00C44A1E">
        <w:rPr>
          <w:rFonts w:ascii="Times New Roman" w:hAnsi="Times New Roman" w:cs="Times New Roman"/>
          <w:sz w:val="24"/>
          <w:szCs w:val="24"/>
        </w:rPr>
        <w:t xml:space="preserve"> B20, B21, B22, B23, B24, R75, Z21, Z20.6 Рубрикатор </w:t>
      </w:r>
      <w:proofErr w:type="gramStart"/>
      <w:r w:rsidRPr="00C44A1E">
        <w:rPr>
          <w:rFonts w:ascii="Times New Roman" w:hAnsi="Times New Roman" w:cs="Times New Roman"/>
          <w:sz w:val="24"/>
          <w:szCs w:val="24"/>
        </w:rPr>
        <w:t>КР</w:t>
      </w:r>
      <w:proofErr w:type="gramEnd"/>
      <w:r w:rsidRPr="00C44A1E">
        <w:rPr>
          <w:rFonts w:ascii="Times New Roman" w:hAnsi="Times New Roman" w:cs="Times New Roman"/>
          <w:sz w:val="24"/>
          <w:szCs w:val="24"/>
        </w:rPr>
        <w:t>, cr.minzdrav.gov.ru)</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Классификация иммунных категорий у детей в соответствии с возрастом</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1701"/>
        <w:gridCol w:w="1644"/>
        <w:gridCol w:w="1587"/>
      </w:tblGrid>
      <w:tr w:rsidR="00FC36A5" w:rsidRPr="00C44A1E">
        <w:tc>
          <w:tcPr>
            <w:tcW w:w="4139"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Иммунные категории</w:t>
            </w:r>
          </w:p>
        </w:tc>
        <w:tc>
          <w:tcPr>
            <w:tcW w:w="4932" w:type="dxa"/>
            <w:gridSpan w:val="3"/>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 xml:space="preserve">CD4 в микролитре (клеток в </w:t>
            </w:r>
            <w:proofErr w:type="gramStart"/>
            <w:r w:rsidRPr="00C44A1E">
              <w:rPr>
                <w:rFonts w:ascii="Times New Roman" w:hAnsi="Times New Roman" w:cs="Times New Roman"/>
                <w:sz w:val="24"/>
                <w:szCs w:val="24"/>
              </w:rPr>
              <w:t>мм</w:t>
            </w:r>
            <w:proofErr w:type="gramEnd"/>
            <w:r w:rsidRPr="00C44A1E">
              <w:rPr>
                <w:rFonts w:ascii="Times New Roman" w:hAnsi="Times New Roman" w:cs="Times New Roman"/>
                <w:sz w:val="24"/>
                <w:szCs w:val="24"/>
              </w:rPr>
              <w:t xml:space="preserve"> и %)</w:t>
            </w:r>
          </w:p>
        </w:tc>
      </w:tr>
      <w:tr w:rsidR="00FC36A5" w:rsidRPr="00C44A1E">
        <w:tc>
          <w:tcPr>
            <w:tcW w:w="4139" w:type="dxa"/>
          </w:tcPr>
          <w:p w:rsidR="00414991" w:rsidRPr="00C44A1E" w:rsidRDefault="00414991">
            <w:pPr>
              <w:spacing w:after="1" w:line="220" w:lineRule="atLeast"/>
              <w:rPr>
                <w:rFonts w:ascii="Times New Roman" w:hAnsi="Times New Roman" w:cs="Times New Roman"/>
                <w:sz w:val="24"/>
                <w:szCs w:val="24"/>
              </w:rPr>
            </w:pPr>
          </w:p>
        </w:tc>
        <w:tc>
          <w:tcPr>
            <w:tcW w:w="1701"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12 месяцев</w:t>
            </w:r>
          </w:p>
        </w:tc>
        <w:tc>
          <w:tcPr>
            <w:tcW w:w="1644"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1 - 5 лет</w:t>
            </w:r>
          </w:p>
        </w:tc>
        <w:tc>
          <w:tcPr>
            <w:tcW w:w="1587" w:type="dxa"/>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&gt;= 6 лет</w:t>
            </w:r>
          </w:p>
        </w:tc>
      </w:tr>
      <w:tr w:rsidR="00FC36A5" w:rsidRPr="00C44A1E">
        <w:tblPrEx>
          <w:tblBorders>
            <w:insideH w:val="nil"/>
          </w:tblBorders>
        </w:tblPrEx>
        <w:tc>
          <w:tcPr>
            <w:tcW w:w="4139"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Категория 1</w:t>
            </w:r>
          </w:p>
        </w:tc>
        <w:tc>
          <w:tcPr>
            <w:tcW w:w="1701"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&gt; 1500 &gt; 35%</w:t>
            </w:r>
          </w:p>
        </w:tc>
        <w:tc>
          <w:tcPr>
            <w:tcW w:w="1644"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&gt; 1000 &gt; 30%</w:t>
            </w:r>
          </w:p>
        </w:tc>
        <w:tc>
          <w:tcPr>
            <w:tcW w:w="1587"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&gt; 500 &gt; 25%</w:t>
            </w:r>
          </w:p>
        </w:tc>
      </w:tr>
      <w:tr w:rsidR="00FC36A5" w:rsidRPr="00C44A1E">
        <w:tblPrEx>
          <w:tblBorders>
            <w:insideH w:val="nil"/>
          </w:tblBorders>
        </w:tblPrEx>
        <w:tc>
          <w:tcPr>
            <w:tcW w:w="4139"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без иммуносупрессии</w:t>
            </w:r>
          </w:p>
        </w:tc>
        <w:tc>
          <w:tcPr>
            <w:tcW w:w="1701" w:type="dxa"/>
            <w:tcBorders>
              <w:top w:val="nil"/>
            </w:tcBorders>
          </w:tcPr>
          <w:p w:rsidR="00414991" w:rsidRPr="00C44A1E" w:rsidRDefault="00414991">
            <w:pPr>
              <w:spacing w:after="1" w:line="220" w:lineRule="atLeast"/>
              <w:rPr>
                <w:rFonts w:ascii="Times New Roman" w:hAnsi="Times New Roman" w:cs="Times New Roman"/>
                <w:sz w:val="24"/>
                <w:szCs w:val="24"/>
              </w:rPr>
            </w:pPr>
          </w:p>
        </w:tc>
        <w:tc>
          <w:tcPr>
            <w:tcW w:w="1644" w:type="dxa"/>
            <w:tcBorders>
              <w:top w:val="nil"/>
            </w:tcBorders>
          </w:tcPr>
          <w:p w:rsidR="00414991" w:rsidRPr="00C44A1E" w:rsidRDefault="00414991">
            <w:pPr>
              <w:spacing w:after="1" w:line="220" w:lineRule="atLeast"/>
              <w:rPr>
                <w:rFonts w:ascii="Times New Roman" w:hAnsi="Times New Roman" w:cs="Times New Roman"/>
                <w:sz w:val="24"/>
                <w:szCs w:val="24"/>
              </w:rPr>
            </w:pPr>
          </w:p>
        </w:tc>
        <w:tc>
          <w:tcPr>
            <w:tcW w:w="1587" w:type="dxa"/>
            <w:tcBorders>
              <w:top w:val="nil"/>
            </w:tcBorders>
          </w:tcPr>
          <w:p w:rsidR="00414991" w:rsidRPr="00C44A1E" w:rsidRDefault="00414991">
            <w:pPr>
              <w:spacing w:after="1" w:line="220" w:lineRule="atLeast"/>
              <w:rPr>
                <w:rFonts w:ascii="Times New Roman" w:hAnsi="Times New Roman" w:cs="Times New Roman"/>
                <w:sz w:val="24"/>
                <w:szCs w:val="24"/>
              </w:rPr>
            </w:pPr>
          </w:p>
        </w:tc>
      </w:tr>
      <w:tr w:rsidR="00FC36A5" w:rsidRPr="00C44A1E">
        <w:tblPrEx>
          <w:tblBorders>
            <w:insideH w:val="nil"/>
          </w:tblBorders>
        </w:tblPrEx>
        <w:tc>
          <w:tcPr>
            <w:tcW w:w="4139"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Категория 2</w:t>
            </w:r>
          </w:p>
        </w:tc>
        <w:tc>
          <w:tcPr>
            <w:tcW w:w="1701"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1000 - 1500</w:t>
            </w:r>
          </w:p>
        </w:tc>
        <w:tc>
          <w:tcPr>
            <w:tcW w:w="1644"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750 - 999</w:t>
            </w:r>
          </w:p>
        </w:tc>
        <w:tc>
          <w:tcPr>
            <w:tcW w:w="1587"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200 - 499</w:t>
            </w:r>
          </w:p>
        </w:tc>
      </w:tr>
      <w:tr w:rsidR="00FC36A5" w:rsidRPr="00C44A1E">
        <w:tblPrEx>
          <w:tblBorders>
            <w:insideH w:val="nil"/>
          </w:tblBorders>
        </w:tblPrEx>
        <w:tc>
          <w:tcPr>
            <w:tcW w:w="4139"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умеренная иммуносупрессия</w:t>
            </w:r>
          </w:p>
        </w:tc>
        <w:tc>
          <w:tcPr>
            <w:tcW w:w="1701"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30 - 35%</w:t>
            </w:r>
          </w:p>
        </w:tc>
        <w:tc>
          <w:tcPr>
            <w:tcW w:w="1644"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25 - 30%</w:t>
            </w:r>
          </w:p>
        </w:tc>
        <w:tc>
          <w:tcPr>
            <w:tcW w:w="1587"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20 - 25%</w:t>
            </w:r>
          </w:p>
        </w:tc>
      </w:tr>
      <w:tr w:rsidR="00FC36A5" w:rsidRPr="00C44A1E">
        <w:tblPrEx>
          <w:tblBorders>
            <w:insideH w:val="nil"/>
          </w:tblBorders>
        </w:tblPrEx>
        <w:tc>
          <w:tcPr>
            <w:tcW w:w="4139"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Категория 3</w:t>
            </w:r>
          </w:p>
        </w:tc>
        <w:tc>
          <w:tcPr>
            <w:tcW w:w="1701"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750 - 999</w:t>
            </w:r>
          </w:p>
        </w:tc>
        <w:tc>
          <w:tcPr>
            <w:tcW w:w="1644"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500 - 749</w:t>
            </w:r>
          </w:p>
        </w:tc>
        <w:tc>
          <w:tcPr>
            <w:tcW w:w="1587"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200 - 350</w:t>
            </w:r>
          </w:p>
        </w:tc>
      </w:tr>
      <w:tr w:rsidR="00FC36A5" w:rsidRPr="00C44A1E">
        <w:tblPrEx>
          <w:tblBorders>
            <w:insideH w:val="nil"/>
          </w:tblBorders>
        </w:tblPrEx>
        <w:tc>
          <w:tcPr>
            <w:tcW w:w="4139"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выраженная иммуносупрессия</w:t>
            </w:r>
          </w:p>
        </w:tc>
        <w:tc>
          <w:tcPr>
            <w:tcW w:w="1701"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25 - 29%</w:t>
            </w:r>
          </w:p>
        </w:tc>
        <w:tc>
          <w:tcPr>
            <w:tcW w:w="1644"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20 - 24%</w:t>
            </w:r>
          </w:p>
        </w:tc>
        <w:tc>
          <w:tcPr>
            <w:tcW w:w="1587"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15 - 19%</w:t>
            </w:r>
          </w:p>
        </w:tc>
      </w:tr>
      <w:tr w:rsidR="00FC36A5" w:rsidRPr="00C44A1E">
        <w:tblPrEx>
          <w:tblBorders>
            <w:insideH w:val="nil"/>
          </w:tblBorders>
        </w:tblPrEx>
        <w:tc>
          <w:tcPr>
            <w:tcW w:w="4139"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Категория 4</w:t>
            </w:r>
          </w:p>
        </w:tc>
        <w:tc>
          <w:tcPr>
            <w:tcW w:w="1701"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750</w:t>
            </w:r>
          </w:p>
        </w:tc>
        <w:tc>
          <w:tcPr>
            <w:tcW w:w="1644"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500</w:t>
            </w:r>
          </w:p>
        </w:tc>
        <w:tc>
          <w:tcPr>
            <w:tcW w:w="1587" w:type="dxa"/>
            <w:tcBorders>
              <w:bottom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200</w:t>
            </w:r>
          </w:p>
        </w:tc>
      </w:tr>
      <w:tr w:rsidR="00414991" w:rsidRPr="00C44A1E">
        <w:tblPrEx>
          <w:tblBorders>
            <w:insideH w:val="nil"/>
          </w:tblBorders>
        </w:tblPrEx>
        <w:tc>
          <w:tcPr>
            <w:tcW w:w="4139"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тяжелая иммуносупрессия</w:t>
            </w:r>
          </w:p>
        </w:tc>
        <w:tc>
          <w:tcPr>
            <w:tcW w:w="1701"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25%</w:t>
            </w:r>
          </w:p>
        </w:tc>
        <w:tc>
          <w:tcPr>
            <w:tcW w:w="1644"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20%</w:t>
            </w:r>
          </w:p>
        </w:tc>
        <w:tc>
          <w:tcPr>
            <w:tcW w:w="1587" w:type="dxa"/>
            <w:tcBorders>
              <w:top w:val="nil"/>
            </w:tcBorders>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&lt; 15%</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Антиретровирусная терапия (</w:t>
      </w:r>
      <w:proofErr w:type="gramStart"/>
      <w:r w:rsidRPr="00C44A1E">
        <w:rPr>
          <w:rFonts w:ascii="Times New Roman" w:hAnsi="Times New Roman" w:cs="Times New Roman"/>
          <w:sz w:val="24"/>
          <w:szCs w:val="24"/>
        </w:rPr>
        <w:t>АРТ</w:t>
      </w:r>
      <w:proofErr w:type="gramEnd"/>
      <w:r w:rsidRPr="00C44A1E">
        <w:rPr>
          <w:rFonts w:ascii="Times New Roman" w:hAnsi="Times New Roman" w:cs="Times New Roman"/>
          <w:sz w:val="24"/>
          <w:szCs w:val="24"/>
        </w:rPr>
        <w:t xml:space="preserve">) назначается как можно в ранние сроки - через 2 недели от начала противотуберкулезного лечения. На фоне начала </w:t>
      </w:r>
      <w:proofErr w:type="gramStart"/>
      <w:r w:rsidRPr="00C44A1E">
        <w:rPr>
          <w:rFonts w:ascii="Times New Roman" w:hAnsi="Times New Roman" w:cs="Times New Roman"/>
          <w:sz w:val="24"/>
          <w:szCs w:val="24"/>
        </w:rPr>
        <w:t>АРТ</w:t>
      </w:r>
      <w:proofErr w:type="gramEnd"/>
      <w:r w:rsidRPr="00C44A1E">
        <w:rPr>
          <w:rFonts w:ascii="Times New Roman" w:hAnsi="Times New Roman" w:cs="Times New Roman"/>
          <w:sz w:val="24"/>
          <w:szCs w:val="24"/>
        </w:rPr>
        <w:t xml:space="preserve"> (чаще всего - в течение первого месяца) может возникнуть воспалительный синдром восстановления иммунитета - ВСВИ, проявляется во временном ухудшении клинического состояния, прогрессировании заболевания. К факторам риска ВСВИ относятся низкое исходное </w:t>
      </w:r>
      <w:r w:rsidRPr="00C44A1E">
        <w:rPr>
          <w:rFonts w:ascii="Times New Roman" w:hAnsi="Times New Roman" w:cs="Times New Roman"/>
          <w:sz w:val="24"/>
          <w:szCs w:val="24"/>
        </w:rPr>
        <w:lastRenderedPageBreak/>
        <w:t xml:space="preserve">количество CD4, распространенный тяжелый ТБ, раннее начало </w:t>
      </w:r>
      <w:proofErr w:type="gramStart"/>
      <w:r w:rsidRPr="00C44A1E">
        <w:rPr>
          <w:rFonts w:ascii="Times New Roman" w:hAnsi="Times New Roman" w:cs="Times New Roman"/>
          <w:sz w:val="24"/>
          <w:szCs w:val="24"/>
        </w:rPr>
        <w:t>АРТ</w:t>
      </w:r>
      <w:proofErr w:type="gramEnd"/>
      <w:r w:rsidRPr="00C44A1E">
        <w:rPr>
          <w:rFonts w:ascii="Times New Roman" w:hAnsi="Times New Roman" w:cs="Times New Roman"/>
          <w:sz w:val="24"/>
          <w:szCs w:val="24"/>
        </w:rPr>
        <w:t>, а также быстрый иммунологический и вирусологический ответ на АРТ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При легком и умеренно тяжелом ТБ, обусловленном ВСВИ, можно рассмотреть назначение нестероидных противовоспалительных и противоревматических средств. При </w:t>
      </w:r>
      <w:proofErr w:type="gramStart"/>
      <w:r w:rsidRPr="00C44A1E">
        <w:rPr>
          <w:rFonts w:ascii="Times New Roman" w:hAnsi="Times New Roman" w:cs="Times New Roman"/>
          <w:sz w:val="24"/>
          <w:szCs w:val="24"/>
        </w:rPr>
        <w:t>тяжелом</w:t>
      </w:r>
      <w:proofErr w:type="gramEnd"/>
      <w:r w:rsidRPr="00C44A1E">
        <w:rPr>
          <w:rFonts w:ascii="Times New Roman" w:hAnsi="Times New Roman" w:cs="Times New Roman"/>
          <w:sz w:val="24"/>
          <w:szCs w:val="24"/>
        </w:rPr>
        <w:t xml:space="preserve"> ТБ-обусловленном ВСВИ можно рассмотреть назначение глюкокортикоидов, противотуберкулезное и противовирусное лечение продолжается [84].</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Критерии оценки качества медицинской помощи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proofErr w:type="gramStart"/>
      <w:r w:rsidRPr="00C44A1E">
        <w:rPr>
          <w:rFonts w:ascii="Times New Roman" w:hAnsi="Times New Roman" w:cs="Times New Roman"/>
          <w:b/>
          <w:sz w:val="24"/>
          <w:szCs w:val="24"/>
        </w:rPr>
        <w:t>Критерии оценки качества первичной медико-санитарной помощи детям при туберкулезе у детей (коды по МКБ-10:</w:t>
      </w:r>
      <w:proofErr w:type="gramEnd"/>
      <w:r w:rsidRPr="00C44A1E">
        <w:rPr>
          <w:rFonts w:ascii="Times New Roman" w:hAnsi="Times New Roman" w:cs="Times New Roman"/>
          <w:b/>
          <w:sz w:val="24"/>
          <w:szCs w:val="24"/>
        </w:rPr>
        <w:t xml:space="preserve"> </w:t>
      </w:r>
      <w:proofErr w:type="gramStart"/>
      <w:r w:rsidRPr="00C44A1E">
        <w:rPr>
          <w:rFonts w:ascii="Times New Roman" w:hAnsi="Times New Roman" w:cs="Times New Roman"/>
          <w:b/>
          <w:sz w:val="24"/>
          <w:szCs w:val="24"/>
        </w:rPr>
        <w:t>A15 - A19)</w:t>
      </w:r>
      <w:proofErr w:type="gramEnd"/>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520"/>
        <w:gridCol w:w="1701"/>
      </w:tblGrid>
      <w:tr w:rsidR="00FC36A5" w:rsidRPr="00C44A1E">
        <w:tc>
          <w:tcPr>
            <w:tcW w:w="850"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 xml:space="preserve">N </w:t>
            </w:r>
            <w:proofErr w:type="gramStart"/>
            <w:r w:rsidRPr="00C44A1E">
              <w:rPr>
                <w:rFonts w:ascii="Times New Roman" w:hAnsi="Times New Roman" w:cs="Times New Roman"/>
                <w:sz w:val="24"/>
                <w:szCs w:val="24"/>
              </w:rPr>
              <w:t>п</w:t>
            </w:r>
            <w:proofErr w:type="gramEnd"/>
            <w:r w:rsidRPr="00C44A1E">
              <w:rPr>
                <w:rFonts w:ascii="Times New Roman" w:hAnsi="Times New Roman" w:cs="Times New Roman"/>
                <w:sz w:val="24"/>
                <w:szCs w:val="24"/>
              </w:rPr>
              <w:t>/п</w:t>
            </w:r>
          </w:p>
        </w:tc>
        <w:tc>
          <w:tcPr>
            <w:tcW w:w="6520"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Критерии оценки качества</w:t>
            </w:r>
          </w:p>
        </w:tc>
        <w:tc>
          <w:tcPr>
            <w:tcW w:w="170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Оценка выполнения</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Выполнена внутрикожная проба с туберкулезным аллергеном или туберкулезным аллергеном АТР или исследование уровня интерферона гамма на антигены Mycobacterium tuberculosis complex в крови</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6520"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Выполнена спиральная компьютерная томография легких или компьютерная томография органов грудной полости (при положительных результатах пробы с АТР или исследования интерферона-гамма на антигены микобактерий туберкулеза (внутрикожная проба или исследование крови)</w:t>
            </w:r>
            <w:proofErr w:type="gramEnd"/>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6520"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Выполнено микроскопическое исследование мокроты на микобактерии (Mycobacterium spp.) или другого диагностического материала - не менее двух образцов.)</w:t>
            </w:r>
            <w:proofErr w:type="gramEnd"/>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414991"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молекулярно-биологическое исследование мокроты или другого диагностического материала с целью обнаружения ДНК Mycobacterium tuberculosis complex.</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proofErr w:type="gramStart"/>
      <w:r w:rsidRPr="00C44A1E">
        <w:rPr>
          <w:rFonts w:ascii="Times New Roman" w:hAnsi="Times New Roman" w:cs="Times New Roman"/>
          <w:b/>
          <w:sz w:val="24"/>
          <w:szCs w:val="24"/>
        </w:rPr>
        <w:t>Критерии оценки качества специализированной медицинской помощи детям при туберкулезе у детей (коды по МКБ-10:</w:t>
      </w:r>
      <w:proofErr w:type="gramEnd"/>
      <w:r w:rsidRPr="00C44A1E">
        <w:rPr>
          <w:rFonts w:ascii="Times New Roman" w:hAnsi="Times New Roman" w:cs="Times New Roman"/>
          <w:b/>
          <w:sz w:val="24"/>
          <w:szCs w:val="24"/>
        </w:rPr>
        <w:t xml:space="preserve"> </w:t>
      </w:r>
      <w:proofErr w:type="gramStart"/>
      <w:r w:rsidRPr="00C44A1E">
        <w:rPr>
          <w:rFonts w:ascii="Times New Roman" w:hAnsi="Times New Roman" w:cs="Times New Roman"/>
          <w:b/>
          <w:sz w:val="24"/>
          <w:szCs w:val="24"/>
        </w:rPr>
        <w:t>A15-A19)</w:t>
      </w:r>
      <w:proofErr w:type="gramEnd"/>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6520"/>
        <w:gridCol w:w="1701"/>
      </w:tblGrid>
      <w:tr w:rsidR="00FC36A5" w:rsidRPr="00C44A1E">
        <w:tc>
          <w:tcPr>
            <w:tcW w:w="850"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 xml:space="preserve">N </w:t>
            </w:r>
            <w:proofErr w:type="gramStart"/>
            <w:r w:rsidRPr="00C44A1E">
              <w:rPr>
                <w:rFonts w:ascii="Times New Roman" w:hAnsi="Times New Roman" w:cs="Times New Roman"/>
                <w:sz w:val="24"/>
                <w:szCs w:val="24"/>
              </w:rPr>
              <w:t>п</w:t>
            </w:r>
            <w:proofErr w:type="gramEnd"/>
            <w:r w:rsidRPr="00C44A1E">
              <w:rPr>
                <w:rFonts w:ascii="Times New Roman" w:hAnsi="Times New Roman" w:cs="Times New Roman"/>
                <w:sz w:val="24"/>
                <w:szCs w:val="24"/>
              </w:rPr>
              <w:t>/п</w:t>
            </w:r>
          </w:p>
        </w:tc>
        <w:tc>
          <w:tcPr>
            <w:tcW w:w="6520"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Критерии оценки качества</w:t>
            </w:r>
          </w:p>
        </w:tc>
        <w:tc>
          <w:tcPr>
            <w:tcW w:w="170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Оценка выполнения</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6520"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Выполнена спиральная компьютерная томография легких или компьютерная томография органов грудной полости (при положительных результатах пробы с АТР или исследования интерферона-гамма на антигены микобактерий туберкулеза (внутрикожная проба или исследование крови)</w:t>
            </w:r>
            <w:proofErr w:type="gramEnd"/>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микроскопическое исследование мокроты на микобактерии (Mycobacterium spp.) или другого диагностического материала - не менее двух образцов.</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Выполнено микробиологическое (культуральное) </w:t>
            </w:r>
            <w:r w:rsidRPr="00C44A1E">
              <w:rPr>
                <w:rFonts w:ascii="Times New Roman" w:hAnsi="Times New Roman" w:cs="Times New Roman"/>
                <w:sz w:val="24"/>
                <w:szCs w:val="24"/>
              </w:rPr>
              <w:lastRenderedPageBreak/>
              <w:t>исследование мокроты или другого диагностического материала с целью обнаружения Mycobacterium tuberculosis complex</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4.</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всем пациентам с положительным результатом микробиологического (культурального) исследования мокроты или другого диагностического материала на микобактерии туберкулеза (Mycobacterium tuberculosis complex) микробиологическое (культуральное) исследование для определения чувствительности микобактерий туберкулеза (Mycobacterium tuberculosis complex), к противотуберкулезным препаратам первого и второго ряда на жидких и плотных питательных средах методом пропорций</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молекулярно-биологическое исследование мокроты или другого диагностического материала с целью обнаружения ДНК Mycobacterium tuberculosis complex.</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определение мутаций ДНК, ассоциированных с лекарственной устойчивостью в ДНК микобактерий туберкулеза (Mycobacterium tuberculosis complex) молекулярно-биологическими методами к препаратам первого ряда - изониазиду** и рифампицину** или, как минимум, к рифампицину**</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7.</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определение мутаций ДНК, ассоциированных с лекарственной устойчивостью в ДНК микобактерий туберкулеза (Mycobacterium tuberculosis complex) молекулярно-биологическими методами к препаратам второго ряда - фторхинолонам</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8.</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лечение туберкулеза в максимально ранние сроки после установления и верификации диагноза.</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FC36A5"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9.</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Выполнено симптоматическое лечение для коррекции побочных реакций и/или купирования симптомов заболевания.</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r w:rsidR="00414991" w:rsidRPr="00C44A1E">
        <w:tc>
          <w:tcPr>
            <w:tcW w:w="85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w:t>
            </w:r>
          </w:p>
        </w:tc>
        <w:tc>
          <w:tcPr>
            <w:tcW w:w="6520"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Выполнены контрольные исследования с целью мониторинга эффективности и переносимости противотуберкулезных и антибактериальных препаратов системного действия</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Да</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ет</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Список литературы</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 w:name="P1421"/>
      <w:bookmarkEnd w:id="12"/>
      <w:r w:rsidRPr="00C44A1E">
        <w:rPr>
          <w:rFonts w:ascii="Times New Roman" w:hAnsi="Times New Roman" w:cs="Times New Roman"/>
          <w:sz w:val="24"/>
          <w:szCs w:val="24"/>
        </w:rPr>
        <w:t>1. Фтизиатрия. Национальное руководство/под ред. М.И. Перельмана. - М. ГЭОТАР - Медна, 2007. - 512 с.</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3" w:name="P1422"/>
      <w:bookmarkEnd w:id="13"/>
      <w:r w:rsidRPr="00C44A1E">
        <w:rPr>
          <w:rFonts w:ascii="Times New Roman" w:hAnsi="Times New Roman" w:cs="Times New Roman"/>
          <w:sz w:val="24"/>
          <w:szCs w:val="24"/>
        </w:rPr>
        <w:t>2. Янченко Е.Н., Греймер М.С. Туберкулез у детей и подростков. Руководство для врачей. СПб; Гиппократ; 1999; с. 56 - 122.</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4" w:name="P1423"/>
      <w:bookmarkEnd w:id="14"/>
      <w:r w:rsidRPr="00C44A1E">
        <w:rPr>
          <w:rFonts w:ascii="Times New Roman" w:hAnsi="Times New Roman" w:cs="Times New Roman"/>
          <w:sz w:val="24"/>
          <w:szCs w:val="24"/>
        </w:rPr>
        <w:t>3. Струков А.И., Серов В.В. Патологическая анатомия. - М.: Медицина, 1985. - С. 135 - 140</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5" w:name="P1424"/>
      <w:bookmarkEnd w:id="15"/>
      <w:r w:rsidRPr="00C44A1E">
        <w:rPr>
          <w:rFonts w:ascii="Times New Roman" w:hAnsi="Times New Roman" w:cs="Times New Roman"/>
          <w:sz w:val="24"/>
          <w:szCs w:val="24"/>
          <w:lang w:val="en-US"/>
        </w:rPr>
        <w:lastRenderedPageBreak/>
        <w:t xml:space="preserve">4. Global tuberculosis report 2025. Geneva: World Health Organization; 2025. </w:t>
      </w:r>
      <w:r w:rsidRPr="00C44A1E">
        <w:rPr>
          <w:rFonts w:ascii="Times New Roman" w:hAnsi="Times New Roman" w:cs="Times New Roman"/>
          <w:sz w:val="24"/>
          <w:szCs w:val="24"/>
        </w:rPr>
        <w:t>Licence: CC BY-NC-SA 3.0 IGO.</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6" w:name="P1425"/>
      <w:bookmarkEnd w:id="16"/>
      <w:r w:rsidRPr="00C44A1E">
        <w:rPr>
          <w:rFonts w:ascii="Times New Roman" w:hAnsi="Times New Roman" w:cs="Times New Roman"/>
          <w:sz w:val="24"/>
          <w:szCs w:val="24"/>
        </w:rPr>
        <w:t>5. Сведения о больных туберкулезом (Форма N 33 (годовая) 2020 - 2024 гг.)</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Аксенова В., Севостьянова Т., Клевно Н., Лапшина В. Туберкулез у детей и подростков в России (проблемы и пути решения в 21 веке). Вопросы современной педиатрии. 2011; 10(3): 7 - 11.</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7" w:name="P1427"/>
      <w:bookmarkEnd w:id="17"/>
      <w:r w:rsidRPr="00C44A1E">
        <w:rPr>
          <w:rFonts w:ascii="Times New Roman" w:hAnsi="Times New Roman" w:cs="Times New Roman"/>
          <w:sz w:val="24"/>
          <w:szCs w:val="24"/>
        </w:rPr>
        <w:t>7. Фирсова В.А. Туберкулез у детей и подростков: диагностика, клиника, лечение. Проблемы туберкулеза. 2003; 3: 23 - 26.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8" w:name="P1428"/>
      <w:bookmarkEnd w:id="18"/>
      <w:r w:rsidRPr="00C44A1E">
        <w:rPr>
          <w:rFonts w:ascii="Times New Roman" w:hAnsi="Times New Roman" w:cs="Times New Roman"/>
          <w:sz w:val="24"/>
          <w:szCs w:val="24"/>
        </w:rPr>
        <w:t>8. Руководство по лечению туберкулеза у детей для национальных программ борьбы с туберкулезом. ВОЗ, 2006. 51 с. [Электронный ресурс]. Режим доступа: http://vokpd.ru/assets/docs/info/ruktubnac.pdf</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9" w:name="P1429"/>
      <w:bookmarkEnd w:id="19"/>
      <w:r w:rsidRPr="00C44A1E">
        <w:rPr>
          <w:rFonts w:ascii="Times New Roman" w:hAnsi="Times New Roman" w:cs="Times New Roman"/>
          <w:sz w:val="24"/>
          <w:szCs w:val="24"/>
        </w:rPr>
        <w:t>9. Старшинова, А.А. Туберкулез у детей из семейного очага инфекции (диагностика, клиническое течение и профилактика): автореф. Дис. Д-ра мед</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аук/А.А. Старшинова. - СПб</w:t>
      </w:r>
      <w:proofErr w:type="gramStart"/>
      <w:r w:rsidRPr="00C44A1E">
        <w:rPr>
          <w:rFonts w:ascii="Times New Roman" w:hAnsi="Times New Roman" w:cs="Times New Roman"/>
          <w:sz w:val="24"/>
          <w:szCs w:val="24"/>
        </w:rPr>
        <w:t xml:space="preserve">., </w:t>
      </w:r>
      <w:proofErr w:type="gramEnd"/>
      <w:r w:rsidRPr="00C44A1E">
        <w:rPr>
          <w:rFonts w:ascii="Times New Roman" w:hAnsi="Times New Roman" w:cs="Times New Roman"/>
          <w:sz w:val="24"/>
          <w:szCs w:val="24"/>
        </w:rPr>
        <w:t>2013. - 40 с.</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0" w:name="P1430"/>
      <w:bookmarkEnd w:id="20"/>
      <w:r w:rsidRPr="00C44A1E">
        <w:rPr>
          <w:rFonts w:ascii="Times New Roman" w:hAnsi="Times New Roman" w:cs="Times New Roman"/>
          <w:sz w:val="24"/>
          <w:szCs w:val="24"/>
          <w:lang w:val="en-US"/>
        </w:rPr>
        <w:t xml:space="preserve">10. Goussard P, Retief F, Burke J, Malherbe A, Janson J. </w:t>
      </w:r>
      <w:proofErr w:type="gramStart"/>
      <w:r w:rsidRPr="00C44A1E">
        <w:rPr>
          <w:rFonts w:ascii="Times New Roman" w:hAnsi="Times New Roman" w:cs="Times New Roman"/>
          <w:sz w:val="24"/>
          <w:szCs w:val="24"/>
          <w:lang w:val="en-US"/>
        </w:rPr>
        <w:t>The role of bronchoscopy in the diagnosis and management of pediatric pulmonary tuberculosis.</w:t>
      </w:r>
      <w:proofErr w:type="gramEnd"/>
      <w:r w:rsidRPr="00C44A1E">
        <w:rPr>
          <w:rFonts w:ascii="Times New Roman" w:hAnsi="Times New Roman" w:cs="Times New Roman"/>
          <w:sz w:val="24"/>
          <w:szCs w:val="24"/>
          <w:lang w:val="en-US"/>
        </w:rPr>
        <w:t xml:space="preserve"> Ther Adv Infect Dis. 2021 Aug 18; 8: 20499361211037168.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10.1177/20499361211037168. PMID: 34422266; PMCID: PMC8377312.</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21" w:name="P1431"/>
      <w:bookmarkEnd w:id="21"/>
      <w:r w:rsidRPr="00C44A1E">
        <w:rPr>
          <w:rFonts w:ascii="Times New Roman" w:hAnsi="Times New Roman" w:cs="Times New Roman"/>
          <w:sz w:val="24"/>
          <w:szCs w:val="24"/>
          <w:lang w:val="en-US"/>
        </w:rPr>
        <w:t xml:space="preserve">11. </w:t>
      </w:r>
      <w:r w:rsidRPr="00C44A1E">
        <w:rPr>
          <w:rFonts w:ascii="Times New Roman" w:hAnsi="Times New Roman" w:cs="Times New Roman"/>
          <w:sz w:val="24"/>
          <w:szCs w:val="24"/>
        </w:rPr>
        <w:t>Панова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Л</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В</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Овсянкина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Е</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Ловачева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О</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В</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Садовникова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Виечелли</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Е</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Хитева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А</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Ю</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Персонифицированное</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лечение</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туберкулеза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легких</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МЛУ</w:t>
      </w:r>
      <w:r w:rsidRPr="00C44A1E">
        <w:rPr>
          <w:rFonts w:ascii="Times New Roman" w:hAnsi="Times New Roman" w:cs="Times New Roman"/>
          <w:sz w:val="24"/>
          <w:szCs w:val="24"/>
          <w:lang w:val="en-US"/>
        </w:rPr>
        <w:t>/</w:t>
      </w:r>
      <w:r w:rsidRPr="00C44A1E">
        <w:rPr>
          <w:rFonts w:ascii="Times New Roman" w:hAnsi="Times New Roman" w:cs="Times New Roman"/>
          <w:sz w:val="24"/>
          <w:szCs w:val="24"/>
        </w:rPr>
        <w:t>ШЛУ</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МБТ</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у</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подростков</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Туберкулез и болезни легких. 2018; 96(2): 55 - 63. https://doi.org/10.21292/2075-1230-2018-96-2-55-63</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22" w:name="P1432"/>
      <w:bookmarkEnd w:id="22"/>
      <w:r w:rsidRPr="00C44A1E">
        <w:rPr>
          <w:rFonts w:ascii="Times New Roman" w:hAnsi="Times New Roman" w:cs="Times New Roman"/>
          <w:sz w:val="24"/>
          <w:szCs w:val="24"/>
        </w:rPr>
        <w:t>12. Аксенова В.А., Клевно Н.И., Кавтарашвили С.М. Очаг туберкулезной инфекции и его значение в развитии туберкулеза у детей/Туберкулез и болезни легких. 2015. N 1. С. 19 - 24.</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23" w:name="P1433"/>
      <w:bookmarkEnd w:id="23"/>
      <w:r w:rsidRPr="00C44A1E">
        <w:rPr>
          <w:rFonts w:ascii="Times New Roman" w:hAnsi="Times New Roman" w:cs="Times New Roman"/>
          <w:sz w:val="24"/>
          <w:szCs w:val="24"/>
        </w:rPr>
        <w:t>13. Совершенствование диагностики и лечения туберкулеза органов дыхания. Методические рекомендации. М-2014/Приказ Минздрава России от 29.12.2014 г. N 951 "Об утверждении методических рекомендаций по совершенствованию диагностики и лечения туберкулеза органов дыхания".</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14. Kunkel A, Abel ZurWiesch P, Nathavitharana RR, Marx FM, Jenkins HE, Cohen T. Smear positivity in paediatric and adult tuberculosis: systematic review and meta-analysis. BMC Infect Dis.2016 Jun 13; 16: 282. Doi: 10.1186/s12879-016-1617-9.</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4" w:name="P1435"/>
      <w:bookmarkEnd w:id="24"/>
      <w:r w:rsidRPr="00C44A1E">
        <w:rPr>
          <w:rFonts w:ascii="Times New Roman" w:hAnsi="Times New Roman" w:cs="Times New Roman"/>
          <w:sz w:val="24"/>
          <w:szCs w:val="24"/>
          <w:lang w:val="en-US"/>
        </w:rPr>
        <w:t>15. Ho J, Marks GB, Fox GJ. The impact of sputum quality on tuberculosis diagnosis: a systematic review. Int J Tuberc Lung Dis. 2015 May; 19(5): 537 - 44. Doi: 10.5588/ijtld.14.0798.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16. Davis JL, Cattamanchi A, Cuevas LE et al. Diagnostic accuracy of same-day microscopy versus standard microscopy for pulmonary tuberculosis: a systematic review and meta-analysis. Lancet Infectious Diseases, 2013, 13: 147 - 154.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5" w:name="P1437"/>
      <w:bookmarkEnd w:id="25"/>
      <w:r w:rsidRPr="00C44A1E">
        <w:rPr>
          <w:rFonts w:ascii="Times New Roman" w:hAnsi="Times New Roman" w:cs="Times New Roman"/>
          <w:sz w:val="24"/>
          <w:szCs w:val="24"/>
          <w:lang w:val="en-US"/>
        </w:rPr>
        <w:t>17. IUATLD. Sputum examination for tuberculosis by direct microscopy in low income Countries: technical guide. 5. Paris: IUATLD; 2000.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6" w:name="P1438"/>
      <w:bookmarkEnd w:id="26"/>
      <w:r w:rsidRPr="00C44A1E">
        <w:rPr>
          <w:rFonts w:ascii="Times New Roman" w:hAnsi="Times New Roman" w:cs="Times New Roman"/>
          <w:sz w:val="24"/>
          <w:szCs w:val="24"/>
          <w:lang w:val="en-US"/>
        </w:rPr>
        <w:lastRenderedPageBreak/>
        <w:t>18. Denkinger CM, Schumacher SG, Boehme CC et al. Xpert MTB/RIF assay for the diagnosis of extrapulmonary tuberculosis: a systematic review and meta-analysis. European Respiratory Journal, 2014, doi: 10.1183/09031936.00007814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7" w:name="P1439"/>
      <w:bookmarkEnd w:id="27"/>
      <w:r w:rsidRPr="00C44A1E">
        <w:rPr>
          <w:rFonts w:ascii="Times New Roman" w:hAnsi="Times New Roman" w:cs="Times New Roman"/>
          <w:sz w:val="24"/>
          <w:szCs w:val="24"/>
          <w:lang w:val="en-US"/>
        </w:rPr>
        <w:t>19. Ling DI, Zwerling AA, Pai M. GenoType MTBDR assays for the diagnosis of multidrug-resistant tuberculosis: a meta-analysis. European Respiratory Journal, 2008, 32: 1165 - 1174.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8" w:name="P1440"/>
      <w:bookmarkEnd w:id="28"/>
      <w:r w:rsidRPr="00C44A1E">
        <w:rPr>
          <w:rFonts w:ascii="Times New Roman" w:hAnsi="Times New Roman" w:cs="Times New Roman"/>
          <w:sz w:val="24"/>
          <w:szCs w:val="24"/>
          <w:lang w:val="en-US"/>
        </w:rPr>
        <w:t xml:space="preserve">20. Van Rie A, Page-Shipp L, Scott L, Sanne I, Stevens W. XpertI MTB/RIF for point-of-care diagnosis of TB in high-HIV burden, resource-limited countries: hype or hope? </w:t>
      </w:r>
      <w:proofErr w:type="gramStart"/>
      <w:r w:rsidRPr="00C44A1E">
        <w:rPr>
          <w:rFonts w:ascii="Times New Roman" w:hAnsi="Times New Roman" w:cs="Times New Roman"/>
          <w:sz w:val="24"/>
          <w:szCs w:val="24"/>
          <w:lang w:val="en-US"/>
        </w:rPr>
        <w:t>Expert Review of Molecular Diagnostics 2010.</w:t>
      </w:r>
      <w:proofErr w:type="gramEnd"/>
      <w:r w:rsidRPr="00C44A1E">
        <w:rPr>
          <w:rFonts w:ascii="Times New Roman" w:hAnsi="Times New Roman" w:cs="Times New Roman"/>
          <w:sz w:val="24"/>
          <w:szCs w:val="24"/>
          <w:lang w:val="en-US"/>
        </w:rPr>
        <w:t xml:space="preserve"> Oct; 10(7): 937 - 46.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29" w:name="P1441"/>
      <w:bookmarkEnd w:id="29"/>
      <w:r w:rsidRPr="00C44A1E">
        <w:rPr>
          <w:rFonts w:ascii="Times New Roman" w:hAnsi="Times New Roman" w:cs="Times New Roman"/>
          <w:sz w:val="24"/>
          <w:szCs w:val="24"/>
          <w:lang w:val="en-US"/>
        </w:rPr>
        <w:t>21. Boehme C.C., Nicol M.P., Nabeta P. et al. Feasibility, diagnostic accuracy, and effectiveness tandardizedsed use of the xpert MTB/RIF test for diagnosis of tuberculosis and multidrug resistance: a multicentre implementation study. Lancet 2011; No 377 (9776): 1495 - 1505.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0" w:name="P1442"/>
      <w:bookmarkEnd w:id="30"/>
      <w:r w:rsidRPr="00C44A1E">
        <w:rPr>
          <w:rFonts w:ascii="Times New Roman" w:hAnsi="Times New Roman" w:cs="Times New Roman"/>
          <w:sz w:val="24"/>
          <w:szCs w:val="24"/>
          <w:lang w:val="en-US"/>
        </w:rPr>
        <w:t>22. Morgan M, Kalantri S, Flores L, Pai M. A commercial line probe assay for the rapid detection of rifampicin resistance in Mycobacterium tuberculosis: a systematic review and meta-analysis. BMC Infectious Diseases 2005; 5: 62 - 70.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1" w:name="P1443"/>
      <w:bookmarkEnd w:id="31"/>
      <w:r w:rsidRPr="00C44A1E">
        <w:rPr>
          <w:rFonts w:ascii="Times New Roman" w:hAnsi="Times New Roman" w:cs="Times New Roman"/>
          <w:sz w:val="24"/>
          <w:szCs w:val="24"/>
          <w:lang w:val="en-US"/>
        </w:rPr>
        <w:t>23. Lange C., Abubakar I., Alffenaar J.W. et al. Management of patients with multidrug-resistant/extensively drug-resistant tuberculosis in Europe: a TBNET consensus statement. Eur Respir J 2014; No 44 (1): 23 - 63.</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2" w:name="P1444"/>
      <w:bookmarkEnd w:id="32"/>
      <w:r w:rsidRPr="00C44A1E">
        <w:rPr>
          <w:rFonts w:ascii="Times New Roman" w:hAnsi="Times New Roman" w:cs="Times New Roman"/>
          <w:sz w:val="24"/>
          <w:szCs w:val="24"/>
          <w:lang w:val="en-US"/>
        </w:rPr>
        <w:t>24. Hillery N., Groessl E.J., Trollip A. et al. The global consortium for drug-resistant tuberculosis diagnostics (GCDD): design of a multi-site, head-to-head study of three rapid tests to detect extensively drug-resistant tuberculosis. Trials 2014; No 15: 4-4-434.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3" w:name="P1445"/>
      <w:bookmarkEnd w:id="33"/>
      <w:r w:rsidRPr="00C44A1E">
        <w:rPr>
          <w:rFonts w:ascii="Times New Roman" w:hAnsi="Times New Roman" w:cs="Times New Roman"/>
          <w:sz w:val="24"/>
          <w:szCs w:val="24"/>
          <w:lang w:val="en-US"/>
        </w:rPr>
        <w:t>25. Lienhardt C et al. New drugs and new regimens for the treatment of tuberculosis: review of the drug development pipeline and implications for national programmes. Current Opinion in Pulmonary Medicine, 2010, 16(3): 186 - 193.</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4" w:name="P1446"/>
      <w:bookmarkEnd w:id="34"/>
      <w:r w:rsidRPr="00C44A1E">
        <w:rPr>
          <w:rFonts w:ascii="Times New Roman" w:hAnsi="Times New Roman" w:cs="Times New Roman"/>
          <w:sz w:val="24"/>
          <w:szCs w:val="24"/>
          <w:lang w:val="en-US"/>
        </w:rPr>
        <w:t>26. Hopewell PC, Pai M, Maher D, Uplekar M, Raviglione MC. 2006. International standards for tuberculosis care. Lancet Infect. Dis. 6: 710 - 725.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5" w:name="P1447"/>
      <w:bookmarkEnd w:id="35"/>
      <w:r w:rsidRPr="00C44A1E">
        <w:rPr>
          <w:rFonts w:ascii="Times New Roman" w:hAnsi="Times New Roman" w:cs="Times New Roman"/>
          <w:sz w:val="24"/>
          <w:szCs w:val="24"/>
          <w:lang w:val="en-US"/>
        </w:rPr>
        <w:t>27. Subbaraman R, Nathavitharana RR, Satyanarayana S, Pai M, Thomas BE</w:t>
      </w:r>
      <w:proofErr w:type="gramStart"/>
      <w:r w:rsidRPr="00C44A1E">
        <w:rPr>
          <w:rFonts w:ascii="Times New Roman" w:hAnsi="Times New Roman" w:cs="Times New Roman"/>
          <w:sz w:val="24"/>
          <w:szCs w:val="24"/>
          <w:lang w:val="en-US"/>
        </w:rPr>
        <w:t>,Chadha</w:t>
      </w:r>
      <w:proofErr w:type="gramEnd"/>
      <w:r w:rsidRPr="00C44A1E">
        <w:rPr>
          <w:rFonts w:ascii="Times New Roman" w:hAnsi="Times New Roman" w:cs="Times New Roman"/>
          <w:sz w:val="24"/>
          <w:szCs w:val="24"/>
          <w:lang w:val="en-US"/>
        </w:rPr>
        <w:t xml:space="preserve"> VK, Rade K, Swaminathan S, Mayer KH. The Tuberculosis Cascade of Care in In'ia's Public Sector: A Systematic Review and Meta-analysis.PloS Med. 2016 Oct 25; 13(10): e1002149.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10.1371/journal.pmed.1002149.</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6" w:name="P1448"/>
      <w:bookmarkEnd w:id="36"/>
      <w:r w:rsidRPr="00C44A1E">
        <w:rPr>
          <w:rFonts w:ascii="Times New Roman" w:hAnsi="Times New Roman" w:cs="Times New Roman"/>
          <w:sz w:val="24"/>
          <w:szCs w:val="24"/>
          <w:lang w:val="en-US"/>
        </w:rPr>
        <w:t>28. Migliori G.B., Zellweger J.P., Abubakar I. et al. European Union standards for tuberculosis care. Eur Respir J 2012; No 39 (4): 807 - 819. URL: http: //dx.doi.org/10.1183/09031936.00203811</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7" w:name="P1449"/>
      <w:bookmarkEnd w:id="37"/>
      <w:r w:rsidRPr="00C44A1E">
        <w:rPr>
          <w:rFonts w:ascii="Times New Roman" w:hAnsi="Times New Roman" w:cs="Times New Roman"/>
          <w:sz w:val="24"/>
          <w:szCs w:val="24"/>
          <w:lang w:val="en-US"/>
        </w:rPr>
        <w:t xml:space="preserve">29. Bauer </w:t>
      </w:r>
      <w:proofErr w:type="gramStart"/>
      <w:r w:rsidRPr="00C44A1E">
        <w:rPr>
          <w:rFonts w:ascii="Times New Roman" w:hAnsi="Times New Roman" w:cs="Times New Roman"/>
          <w:sz w:val="24"/>
          <w:szCs w:val="24"/>
          <w:lang w:val="en-US"/>
        </w:rPr>
        <w:t>M,</w:t>
      </w:r>
      <w:proofErr w:type="gramEnd"/>
      <w:r w:rsidRPr="00C44A1E">
        <w:rPr>
          <w:rFonts w:ascii="Times New Roman" w:hAnsi="Times New Roman" w:cs="Times New Roman"/>
          <w:sz w:val="24"/>
          <w:szCs w:val="24"/>
          <w:lang w:val="en-US"/>
        </w:rPr>
        <w:t xml:space="preserve"> Leavens A, Schwartzman K. </w:t>
      </w:r>
      <w:proofErr w:type="gramStart"/>
      <w:r w:rsidRPr="00C44A1E">
        <w:rPr>
          <w:rFonts w:ascii="Times New Roman" w:hAnsi="Times New Roman" w:cs="Times New Roman"/>
          <w:sz w:val="24"/>
          <w:szCs w:val="24"/>
          <w:lang w:val="en-US"/>
        </w:rPr>
        <w:t>A systematic review and meta-analysis of the impact of tuberculosis on health-related quality of life.</w:t>
      </w:r>
      <w:proofErr w:type="gramEnd"/>
      <w:r w:rsidRPr="00C44A1E">
        <w:rPr>
          <w:rFonts w:ascii="Times New Roman" w:hAnsi="Times New Roman" w:cs="Times New Roman"/>
          <w:sz w:val="24"/>
          <w:szCs w:val="24"/>
          <w:lang w:val="en-US"/>
        </w:rPr>
        <w:t xml:space="preserve"> Quality of Life Research 2013; 22(8): 2213 - 2235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8" w:name="P1450"/>
      <w:bookmarkEnd w:id="38"/>
      <w:r w:rsidRPr="00C44A1E">
        <w:rPr>
          <w:rFonts w:ascii="Times New Roman" w:hAnsi="Times New Roman" w:cs="Times New Roman"/>
          <w:sz w:val="24"/>
          <w:szCs w:val="24"/>
          <w:lang w:val="en-US"/>
        </w:rPr>
        <w:t xml:space="preserve">30. Bemer P., Palicova F., </w:t>
      </w:r>
      <w:r w:rsidRPr="00C44A1E">
        <w:rPr>
          <w:rFonts w:ascii="Times New Roman" w:hAnsi="Times New Roman" w:cs="Times New Roman"/>
          <w:noProof/>
          <w:position w:val="-4"/>
          <w:sz w:val="24"/>
          <w:szCs w:val="24"/>
          <w:lang w:eastAsia="ru-RU"/>
        </w:rPr>
        <w:drawing>
          <wp:inline distT="0" distB="0" distL="0" distR="0" wp14:anchorId="14DD4970" wp14:editId="08571B3E">
            <wp:extent cx="995680" cy="1993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5680"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S. et al. Multicenter evaluation of fully automated BACTEC mycobacteria growth indicator tube 960 system for susceptibility testing of mycobacterium tuberculosis. J Clin Microbiol 2002; No 40 (1): 150 - 154.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39" w:name="P1451"/>
      <w:bookmarkEnd w:id="39"/>
      <w:r w:rsidRPr="00C44A1E">
        <w:rPr>
          <w:rFonts w:ascii="Times New Roman" w:hAnsi="Times New Roman" w:cs="Times New Roman"/>
          <w:sz w:val="24"/>
          <w:szCs w:val="24"/>
          <w:lang w:val="en-US"/>
        </w:rPr>
        <w:t xml:space="preserve">31. Pfyffer G. E., Bonato D.A. Ebrahimzadeh A. et al. Multicenter laboratory validation of susceptibility testing of mycobacterium tuberculosis against classical second-line and newer </w:t>
      </w:r>
      <w:r w:rsidRPr="00C44A1E">
        <w:rPr>
          <w:rFonts w:ascii="Times New Roman" w:hAnsi="Times New Roman" w:cs="Times New Roman"/>
          <w:sz w:val="24"/>
          <w:szCs w:val="24"/>
          <w:lang w:val="en-US"/>
        </w:rPr>
        <w:lastRenderedPageBreak/>
        <w:t>antimicrobial drugs by using the radiometric BACTEC 460 technique and the proportion method with solid media. J Clin Microbiol 1999; No 37 (10): 3179 - 3186.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40" w:name="P1452"/>
      <w:bookmarkEnd w:id="40"/>
      <w:r w:rsidRPr="00C44A1E">
        <w:rPr>
          <w:rFonts w:ascii="Times New Roman" w:hAnsi="Times New Roman" w:cs="Times New Roman"/>
          <w:sz w:val="24"/>
          <w:szCs w:val="24"/>
          <w:lang w:val="en-US"/>
        </w:rPr>
        <w:t>32. Wikman-JorgensenP</w:t>
      </w:r>
      <w:proofErr w:type="gramStart"/>
      <w:r w:rsidRPr="00C44A1E">
        <w:rPr>
          <w:rFonts w:ascii="Times New Roman" w:hAnsi="Times New Roman" w:cs="Times New Roman"/>
          <w:sz w:val="24"/>
          <w:szCs w:val="24"/>
          <w:lang w:val="en-US"/>
        </w:rPr>
        <w:t xml:space="preserve">, </w:t>
      </w:r>
      <w:proofErr w:type="gramEnd"/>
      <w:r w:rsidRPr="00C44A1E">
        <w:rPr>
          <w:rFonts w:ascii="Times New Roman" w:hAnsi="Times New Roman" w:cs="Times New Roman"/>
          <w:noProof/>
          <w:position w:val="-4"/>
          <w:sz w:val="24"/>
          <w:szCs w:val="24"/>
          <w:lang w:eastAsia="ru-RU"/>
        </w:rPr>
        <w:drawing>
          <wp:inline distT="0" distB="0" distL="0" distR="0" wp14:anchorId="10BCCCED" wp14:editId="360E6ACD">
            <wp:extent cx="1058545" cy="19939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8545"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HobbinsM, EhmerJ, AbellanaR Microscopic observation drug susceptibility assay for the diagnosis of TB and MDR-TB in HIV-infected patients: a systematic review and meta-analysis. Eur Respir J. 2014 Oct; 44(4): 973 - 84.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10.1183/09031936.00079614.</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1" w:name="P1453"/>
      <w:bookmarkEnd w:id="41"/>
      <w:r w:rsidRPr="00C44A1E">
        <w:rPr>
          <w:rFonts w:ascii="Times New Roman" w:hAnsi="Times New Roman" w:cs="Times New Roman"/>
          <w:sz w:val="24"/>
          <w:szCs w:val="24"/>
          <w:lang w:val="en-US"/>
        </w:rPr>
        <w:t xml:space="preserve">33. Storla DG, Yimer S, Bjune GA. </w:t>
      </w:r>
      <w:proofErr w:type="gramStart"/>
      <w:r w:rsidRPr="00C44A1E">
        <w:rPr>
          <w:rFonts w:ascii="Times New Roman" w:hAnsi="Times New Roman" w:cs="Times New Roman"/>
          <w:sz w:val="24"/>
          <w:szCs w:val="24"/>
          <w:lang w:val="en-US"/>
        </w:rPr>
        <w:t>A systematic review of delay in the diagnosis and treatment of tuberculosis.</w:t>
      </w:r>
      <w:proofErr w:type="gramEnd"/>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BMC Public Health. 2008; 8: 15.</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2" w:name="P1454"/>
      <w:bookmarkEnd w:id="42"/>
      <w:r w:rsidRPr="00C44A1E">
        <w:rPr>
          <w:rFonts w:ascii="Times New Roman" w:hAnsi="Times New Roman" w:cs="Times New Roman"/>
          <w:sz w:val="24"/>
          <w:szCs w:val="24"/>
        </w:rPr>
        <w:t>34. Слогоцкая Л.В., Богородская Е.М., Сенчихина О.Ю., Никитина Г.В., Кудлай Д.А. Формирование групп риска заболевания туберкулезом при различных иммунологических методах обследования детского населения. Российский педиатрический журнал. 2017; 20 (4): 207 - 213.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35. Аксенова В.А., Барышникова Л.А., Долженко Е.Н., Кудлай Д.А. Актуальные вопросы массового обследования детского населения на туберкулез в современных условиях//Научно-практический рецензируемый журнал "Доктор</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у" - 2012. - N 8 (76). - С. 27 - 29.</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3" w:name="P1456"/>
      <w:bookmarkEnd w:id="43"/>
      <w:r w:rsidRPr="00C44A1E">
        <w:rPr>
          <w:rFonts w:ascii="Times New Roman" w:hAnsi="Times New Roman" w:cs="Times New Roman"/>
          <w:sz w:val="24"/>
          <w:szCs w:val="24"/>
        </w:rPr>
        <w:t>36. Аксенова В.А., Барышникова Л.А., Клевно Н.И. Скрининговое обследование детей и подростков с целью выявления туберкулезной инфекции.//Методическое руководство. - М. - 2018. - 47 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lang w:val="en-US"/>
        </w:rPr>
        <w:t xml:space="preserve">37. Menzies D., Pai M., Comstock G. Meta-analysis: new tests for the diagnosis of latent tuberculosis infection: areas of uncertainty and recommendations for research//Ann. </w:t>
      </w:r>
      <w:r w:rsidRPr="00C44A1E">
        <w:rPr>
          <w:rFonts w:ascii="Times New Roman" w:hAnsi="Times New Roman" w:cs="Times New Roman"/>
          <w:sz w:val="24"/>
          <w:szCs w:val="24"/>
        </w:rPr>
        <w:t>Intern. Med. - 2007. - Vol. 146. - P. 340 - 354.</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4" w:name="P1458"/>
      <w:bookmarkEnd w:id="44"/>
      <w:r w:rsidRPr="00C44A1E">
        <w:rPr>
          <w:rFonts w:ascii="Times New Roman" w:hAnsi="Times New Roman" w:cs="Times New Roman"/>
          <w:sz w:val="24"/>
          <w:szCs w:val="24"/>
        </w:rPr>
        <w:t>38. Клевно Н.И. Чувствительность кожных тестов при туберкулезе у детей с ВИЧ-инфекцией. Туберкулез и болезни легких. 2014; 7: 37 - 40.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45" w:name="P1459"/>
      <w:bookmarkEnd w:id="45"/>
      <w:r w:rsidRPr="00C44A1E">
        <w:rPr>
          <w:rFonts w:ascii="Times New Roman" w:hAnsi="Times New Roman" w:cs="Times New Roman"/>
          <w:sz w:val="24"/>
          <w:szCs w:val="24"/>
        </w:rPr>
        <w:t xml:space="preserve">39. Слогоцкая Л.И., Литвинов В.И., Сельцовский П.П., Шустер А.М., Мартьянов В.А., Кудлай Д.А., Филиппов А.В., Кочетков Я.А. Применение кожной пробы с аллергеном туберкулезным рекомбинантным </w:t>
      </w:r>
      <w:r w:rsidRPr="00C44A1E">
        <w:rPr>
          <w:rFonts w:ascii="Times New Roman" w:hAnsi="Times New Roman" w:cs="Times New Roman"/>
          <w:noProof/>
          <w:position w:val="-11"/>
          <w:sz w:val="24"/>
          <w:szCs w:val="24"/>
          <w:lang w:eastAsia="ru-RU"/>
        </w:rPr>
        <w:drawing>
          <wp:inline distT="0" distB="0" distL="0" distR="0" wp14:anchorId="622417FB" wp14:editId="1DB8EC66">
            <wp:extent cx="121539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r w:rsidRPr="00C44A1E">
        <w:rPr>
          <w:rFonts w:ascii="Times New Roman" w:hAnsi="Times New Roman" w:cs="Times New Roman"/>
          <w:sz w:val="24"/>
          <w:szCs w:val="24"/>
        </w:rPr>
        <w:t xml:space="preserve"> для диагностики туберкулезной инфекции у больных с ВИЧ инфекцией. Пульмонология</w:t>
      </w:r>
      <w:r w:rsidRPr="00C44A1E">
        <w:rPr>
          <w:rFonts w:ascii="Times New Roman" w:hAnsi="Times New Roman" w:cs="Times New Roman"/>
          <w:sz w:val="24"/>
          <w:szCs w:val="24"/>
          <w:lang w:val="en-US"/>
        </w:rPr>
        <w:t>. 2011; 1: 60 - 64.</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6" w:name="P1460"/>
      <w:bookmarkEnd w:id="46"/>
      <w:r w:rsidRPr="00C44A1E">
        <w:rPr>
          <w:rFonts w:ascii="Times New Roman" w:hAnsi="Times New Roman" w:cs="Times New Roman"/>
          <w:sz w:val="24"/>
          <w:szCs w:val="24"/>
          <w:lang w:val="en-US"/>
        </w:rPr>
        <w:t xml:space="preserve">40. World Health Organization. </w:t>
      </w:r>
      <w:proofErr w:type="gramStart"/>
      <w:r w:rsidRPr="00C44A1E">
        <w:rPr>
          <w:rFonts w:ascii="Times New Roman" w:hAnsi="Times New Roman" w:cs="Times New Roman"/>
          <w:sz w:val="24"/>
          <w:szCs w:val="24"/>
          <w:lang w:val="en-US"/>
        </w:rPr>
        <w:t>Model list of essential medicines 19th list.</w:t>
      </w:r>
      <w:proofErr w:type="gramEnd"/>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Geneva: WHO, 2015. [Электронный ресурс]. Режим доступа: http://www.who.int/selection_medicines/committees/expert/20/EML2015_FINAL_amended_AUG2015.pdf</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7" w:name="P1461"/>
      <w:bookmarkEnd w:id="47"/>
      <w:r w:rsidRPr="00C44A1E">
        <w:rPr>
          <w:rFonts w:ascii="Times New Roman" w:hAnsi="Times New Roman" w:cs="Times New Roman"/>
          <w:sz w:val="24"/>
          <w:szCs w:val="24"/>
        </w:rPr>
        <w:t xml:space="preserve">41. </w:t>
      </w:r>
      <w:proofErr w:type="gramStart"/>
      <w:r w:rsidRPr="00C44A1E">
        <w:rPr>
          <w:rFonts w:ascii="Times New Roman" w:hAnsi="Times New Roman" w:cs="Times New Roman"/>
          <w:sz w:val="24"/>
          <w:szCs w:val="24"/>
        </w:rPr>
        <w:t>Васильева И.А., Самойлова А.Г., Черноусова Л.Н., Багдасарян Т.Р., Черноусова Л.Н., Аксенова В.А., Баласанянц Г.С., Барышникова Л.А., Валиев Р.Ш., Казенный Б.Я., Казимирова Н.Е., Карпина Н.Л., Каюкова С.И., Клевно Н.И., Комиссарова О.Г., Ларионова Е.Е., Ловачева О.В., Марьяндышев А.О., Морозова Т.И., Перфильев А.В.</w:t>
      </w:r>
      <w:proofErr w:type="gramEnd"/>
      <w:r w:rsidRPr="00C44A1E">
        <w:rPr>
          <w:rFonts w:ascii="Times New Roman" w:hAnsi="Times New Roman" w:cs="Times New Roman"/>
          <w:sz w:val="24"/>
          <w:szCs w:val="24"/>
        </w:rPr>
        <w:t xml:space="preserve">, Попов С.А., Пузанов В.А., Севастьянова Э.В., Скорняков С.Н., Стаханов В.А., Эргешов А.Э. Федеральные клинические рекомендации по диагностике и лечению туберкулеза органов дыхания. - Издание второе ООО "НЬЮТЕРРА", 2016. - 52 </w:t>
      </w:r>
      <w:proofErr w:type="gramStart"/>
      <w:r w:rsidRPr="00C44A1E">
        <w:rPr>
          <w:rFonts w:ascii="Times New Roman" w:hAnsi="Times New Roman" w:cs="Times New Roman"/>
          <w:sz w:val="24"/>
          <w:szCs w:val="24"/>
        </w:rPr>
        <w:t>с</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8" w:name="P1462"/>
      <w:bookmarkEnd w:id="48"/>
      <w:r w:rsidRPr="00C44A1E">
        <w:rPr>
          <w:rFonts w:ascii="Times New Roman" w:hAnsi="Times New Roman" w:cs="Times New Roman"/>
          <w:sz w:val="24"/>
          <w:szCs w:val="24"/>
        </w:rPr>
        <w:t>42. Воробьева О.А. Лекарственная устойчивость микобактерий туберкулеза - современные взгляды на проблему//Сибирский медицинский журнал, 2008, N 2. - С. 5 - 8.</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49" w:name="P1463"/>
      <w:bookmarkEnd w:id="49"/>
      <w:r w:rsidRPr="00C44A1E">
        <w:rPr>
          <w:rFonts w:ascii="Times New Roman" w:hAnsi="Times New Roman" w:cs="Times New Roman"/>
          <w:sz w:val="24"/>
          <w:szCs w:val="24"/>
          <w:lang w:val="en-US"/>
        </w:rPr>
        <w:lastRenderedPageBreak/>
        <w:t xml:space="preserve">43. Guidance for national tuberculosis programmes on the management of tuberculosis in children. </w:t>
      </w:r>
      <w:r w:rsidRPr="00C44A1E">
        <w:rPr>
          <w:rFonts w:ascii="Times New Roman" w:hAnsi="Times New Roman" w:cs="Times New Roman"/>
          <w:sz w:val="24"/>
          <w:szCs w:val="24"/>
        </w:rPr>
        <w:t>WHO. 2014. с. 125. [Электронный ресурс]. Режим доступа: https://www.who.int/tb/publications/childtb_guidelines/en/</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50" w:name="P1464"/>
      <w:bookmarkEnd w:id="50"/>
      <w:r w:rsidRPr="00C44A1E">
        <w:rPr>
          <w:rFonts w:ascii="Times New Roman" w:hAnsi="Times New Roman" w:cs="Times New Roman"/>
          <w:sz w:val="24"/>
          <w:szCs w:val="24"/>
          <w:lang w:val="en-US"/>
        </w:rPr>
        <w:t>44. WHO consolidated guidelines on drug-resistant tuberculosis treatment: WHO/2019 [</w:t>
      </w:r>
      <w:r w:rsidRPr="00C44A1E">
        <w:rPr>
          <w:rFonts w:ascii="Times New Roman" w:hAnsi="Times New Roman" w:cs="Times New Roman"/>
          <w:sz w:val="24"/>
          <w:szCs w:val="24"/>
        </w:rPr>
        <w:t>Электронный</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ресурс</w:t>
      </w:r>
      <w:r w:rsidRPr="00C44A1E">
        <w:rPr>
          <w:rFonts w:ascii="Times New Roman" w:hAnsi="Times New Roman" w:cs="Times New Roman"/>
          <w:sz w:val="24"/>
          <w:szCs w:val="24"/>
          <w:lang w:val="en-US"/>
        </w:rPr>
        <w:t>]</w:t>
      </w:r>
      <w:proofErr w:type="gramStart"/>
      <w:r w:rsidRPr="00C44A1E">
        <w:rPr>
          <w:rFonts w:ascii="Times New Roman" w:hAnsi="Times New Roman" w:cs="Times New Roman"/>
          <w:sz w:val="24"/>
          <w:szCs w:val="24"/>
          <w:lang w:val="en-US"/>
        </w:rPr>
        <w:t>.</w:t>
      </w:r>
      <w:proofErr w:type="gramEnd"/>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Режим доступа: https://www.who.int/tb/publications/2019/consolidated-guidelines-drug-resistant-TB-treatment/en/</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1" w:name="P1465"/>
      <w:bookmarkEnd w:id="51"/>
      <w:r w:rsidRPr="00C44A1E">
        <w:rPr>
          <w:rFonts w:ascii="Times New Roman" w:hAnsi="Times New Roman" w:cs="Times New Roman"/>
          <w:sz w:val="24"/>
          <w:szCs w:val="24"/>
          <w:lang w:val="en-US"/>
        </w:rPr>
        <w:t xml:space="preserve">45. Ahmad N, Ahuja SD, Akkerman OW, Alffenaar J-WC, Anderson LF, Baghaei P et al. Treatment correlates of successful outcomes in pulmonary multidrug-resistant tuberculosis: an individual patient data meta-analysis. </w:t>
      </w:r>
      <w:proofErr w:type="gramStart"/>
      <w:r w:rsidRPr="00C44A1E">
        <w:rPr>
          <w:rFonts w:ascii="Times New Roman" w:hAnsi="Times New Roman" w:cs="Times New Roman"/>
          <w:sz w:val="24"/>
          <w:szCs w:val="24"/>
          <w:lang w:val="en-US"/>
        </w:rPr>
        <w:t>Lancet.</w:t>
      </w:r>
      <w:proofErr w:type="gramEnd"/>
      <w:r w:rsidRPr="00C44A1E">
        <w:rPr>
          <w:rFonts w:ascii="Times New Roman" w:hAnsi="Times New Roman" w:cs="Times New Roman"/>
          <w:sz w:val="24"/>
          <w:szCs w:val="24"/>
          <w:lang w:val="en-US"/>
        </w:rPr>
        <w:t xml:space="preserve"> 2018; 392(10150): 821 - 34.</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52" w:name="P1466"/>
      <w:bookmarkEnd w:id="52"/>
      <w:r w:rsidRPr="00C44A1E">
        <w:rPr>
          <w:rFonts w:ascii="Times New Roman" w:hAnsi="Times New Roman" w:cs="Times New Roman"/>
          <w:sz w:val="24"/>
          <w:szCs w:val="24"/>
          <w:lang w:val="en-US"/>
        </w:rPr>
        <w:t xml:space="preserve">46. Bastos ML, </w:t>
      </w:r>
      <w:proofErr w:type="gramStart"/>
      <w:r w:rsidRPr="00C44A1E">
        <w:rPr>
          <w:rFonts w:ascii="Times New Roman" w:hAnsi="Times New Roman" w:cs="Times New Roman"/>
          <w:sz w:val="24"/>
          <w:szCs w:val="24"/>
          <w:lang w:val="en-US"/>
        </w:rPr>
        <w:t>Lan</w:t>
      </w:r>
      <w:proofErr w:type="gramEnd"/>
      <w:r w:rsidRPr="00C44A1E">
        <w:rPr>
          <w:rFonts w:ascii="Times New Roman" w:hAnsi="Times New Roman" w:cs="Times New Roman"/>
          <w:sz w:val="24"/>
          <w:szCs w:val="24"/>
          <w:lang w:val="en-US"/>
        </w:rPr>
        <w:t xml:space="preserve"> Z, Menzies D. </w:t>
      </w:r>
      <w:proofErr w:type="gramStart"/>
      <w:r w:rsidRPr="00C44A1E">
        <w:rPr>
          <w:rFonts w:ascii="Times New Roman" w:hAnsi="Times New Roman" w:cs="Times New Roman"/>
          <w:sz w:val="24"/>
          <w:szCs w:val="24"/>
          <w:lang w:val="en-US"/>
        </w:rPr>
        <w:t>An updated systematic review and meta-analysis for treatment of multidrug-resistant tuberculosis.</w:t>
      </w:r>
      <w:proofErr w:type="gramEnd"/>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Eur Respir J. 2017 Mar 22; 49(3)</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53" w:name="P1467"/>
      <w:bookmarkEnd w:id="53"/>
      <w:r w:rsidRPr="00C44A1E">
        <w:rPr>
          <w:rFonts w:ascii="Times New Roman" w:hAnsi="Times New Roman" w:cs="Times New Roman"/>
          <w:sz w:val="24"/>
          <w:szCs w:val="24"/>
        </w:rPr>
        <w:t>47. Сводное руководство ВОЗ по туберкулезу. Модуль 4: лечение (лечение лекарственно-устойчивого туберкулеза). Копенгаген: Европейское региональное бюро ВОЗ; 2021. https://apps.who.int/iris/bitstream/handle/10665/339991/9789289054966-rus.pdf</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4" w:name="P1468"/>
      <w:bookmarkEnd w:id="54"/>
      <w:r w:rsidRPr="00C44A1E">
        <w:rPr>
          <w:rFonts w:ascii="Times New Roman" w:hAnsi="Times New Roman" w:cs="Times New Roman"/>
          <w:sz w:val="24"/>
          <w:szCs w:val="24"/>
          <w:lang w:val="en-US"/>
        </w:rPr>
        <w:t xml:space="preserve">48. Millard J, Pertinez H, Bonnett L, Hodel EM, Dartois V, Johnson JL, Caws M, Tiberi S, Bolhuis M, Alffenaar JC, Davies G, Sloan D. Linezolid pharmacokinetics in MDR-TB: a systematic review, meta-analysis and Monte Carlo simulation. </w:t>
      </w:r>
      <w:proofErr w:type="gramStart"/>
      <w:r w:rsidRPr="00C44A1E">
        <w:rPr>
          <w:rFonts w:ascii="Times New Roman" w:hAnsi="Times New Roman" w:cs="Times New Roman"/>
          <w:sz w:val="24"/>
          <w:szCs w:val="24"/>
          <w:lang w:val="en-US"/>
        </w:rPr>
        <w:t>J Antimicrob Chemother.</w:t>
      </w:r>
      <w:proofErr w:type="gramEnd"/>
      <w:r w:rsidRPr="00C44A1E">
        <w:rPr>
          <w:rFonts w:ascii="Times New Roman" w:hAnsi="Times New Roman" w:cs="Times New Roman"/>
          <w:sz w:val="24"/>
          <w:szCs w:val="24"/>
          <w:lang w:val="en-US"/>
        </w:rPr>
        <w:t xml:space="preserve"> 2018 Jul 1; 73(7): 1755 - 1762.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5" w:name="P1469"/>
      <w:bookmarkEnd w:id="55"/>
      <w:r w:rsidRPr="00C44A1E">
        <w:rPr>
          <w:rFonts w:ascii="Times New Roman" w:hAnsi="Times New Roman" w:cs="Times New Roman"/>
          <w:sz w:val="24"/>
          <w:szCs w:val="24"/>
          <w:lang w:val="en-US"/>
        </w:rPr>
        <w:t>49. Hwang TJ, Wares DF, Jafarov A, Jakubowiak W, Nunn P, Keshavjee S. Safety of cycloserine and terizidone for the treatment of drug-resistant tuberculosis: a meta-analysis. Int J Tuberc Lung Dis. 2013 Oct; 17(10): 1257 - 6'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6" w:name="P1470"/>
      <w:bookmarkEnd w:id="56"/>
      <w:r w:rsidRPr="00C44A1E">
        <w:rPr>
          <w:rFonts w:ascii="Times New Roman" w:hAnsi="Times New Roman" w:cs="Times New Roman"/>
          <w:sz w:val="24"/>
          <w:szCs w:val="24"/>
          <w:lang w:val="en-US"/>
        </w:rPr>
        <w:t>50. D'Ambrosio L, Centis R, Tiberi S, Tadolini M, Dalcolmo M, Rendon A, Esposito S, Migliori GB. Delamanid and bedaquiline to treat multidrug-resistant and extensively drugresistant tuberculosis in children: a systematic review. J Thorac Dis 2017; 9(7): 2093 - 2101. http://doi.org/10.21037/jtd.2017.06.16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51. H. Simon Schaaf. Diagnosis and Management of Multidrug-Resistant Tuberculosis in Children: A Practical Approach/ </w:t>
      </w:r>
      <w:proofErr w:type="gramStart"/>
      <w:r w:rsidRPr="00C44A1E">
        <w:rPr>
          <w:rFonts w:ascii="Times New Roman" w:hAnsi="Times New Roman" w:cs="Times New Roman"/>
          <w:sz w:val="24"/>
          <w:szCs w:val="24"/>
          <w:lang w:val="en-US"/>
        </w:rPr>
        <w:t>The</w:t>
      </w:r>
      <w:proofErr w:type="gramEnd"/>
      <w:r w:rsidRPr="00C44A1E">
        <w:rPr>
          <w:rFonts w:ascii="Times New Roman" w:hAnsi="Times New Roman" w:cs="Times New Roman"/>
          <w:sz w:val="24"/>
          <w:szCs w:val="24"/>
          <w:lang w:val="en-US"/>
        </w:rPr>
        <w:t xml:space="preserve"> Indian Journal of Pediatrics (August 2019) 86(8): 717 - 724. https://doi.org/10.1007/s12098-018-02846-8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52. Ghosh S, Breitscheidel L, Lazarevic N, Martin A, Hafkin J, Hittel N. Compassionate Use of Delamanid in Adults and Children for Drug-resistant TB: 5-year Update. European Respiratory Journal 2020, Vol 57 Issue 5; DOI: 10.1183/13993003.02483-2020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53. Chunlan Zheng, Xiufen Hu, Li Zhao, Minhui Hu,Feng Gao Clinical and pharmacological hallmarks of rifapentine's use in diabetes patients with active and latent tuberculosis: do we know enough?//Dove Medical Press Limited, 2017; 11: 2957 - 2968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54. Mota L, Al-Efraij K, Campbell JR, Cook VJ, Marra F3, Johnston J. Therapeutic drug monitoring in anti-tuberculosis treatment: a systematic review and meta-analysis. Int J Tuberc Lung Dis. 2016 Jun; 20(6): 819 - 26.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10.5588/ijtld.15.0803.</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55. Ahuja S.D., Ashkin D., Avendano M. et al. Multidrug resistant pulmonary tuberculosis treatment regimens and patient outcomes: an individual patient data meta-analysis </w:t>
      </w:r>
      <w:proofErr w:type="gramStart"/>
      <w:r w:rsidRPr="00C44A1E">
        <w:rPr>
          <w:rFonts w:ascii="Times New Roman" w:hAnsi="Times New Roman" w:cs="Times New Roman"/>
          <w:sz w:val="24"/>
          <w:szCs w:val="24"/>
          <w:lang w:val="en-US"/>
        </w:rPr>
        <w:t>of 9,153 patients.PLoSMed</w:t>
      </w:r>
      <w:proofErr w:type="gramEnd"/>
      <w:r w:rsidRPr="00C44A1E">
        <w:rPr>
          <w:rFonts w:ascii="Times New Roman" w:hAnsi="Times New Roman" w:cs="Times New Roman"/>
          <w:sz w:val="24"/>
          <w:szCs w:val="24"/>
          <w:lang w:val="en-US"/>
        </w:rPr>
        <w:t xml:space="preserve">. 2012; No 9(8): e1001300. </w:t>
      </w:r>
      <w:proofErr w:type="gramStart"/>
      <w:r w:rsidRPr="00C44A1E">
        <w:rPr>
          <w:rFonts w:ascii="Times New Roman" w:hAnsi="Times New Roman" w:cs="Times New Roman"/>
          <w:sz w:val="24"/>
          <w:szCs w:val="24"/>
          <w:lang w:val="en-US"/>
        </w:rPr>
        <w:t>URL.</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7" w:name="P1476"/>
      <w:bookmarkEnd w:id="57"/>
      <w:r w:rsidRPr="00C44A1E">
        <w:rPr>
          <w:rFonts w:ascii="Times New Roman" w:hAnsi="Times New Roman" w:cs="Times New Roman"/>
          <w:sz w:val="24"/>
          <w:szCs w:val="24"/>
          <w:lang w:val="en-US"/>
        </w:rPr>
        <w:lastRenderedPageBreak/>
        <w:t>56. Van Deun A, Maug AKJ, Salim MAH, Das PK, Sarker MR, Daru P et al. Short, highly effective, and inexpensive standardized treatment of multidrug-resistant tuberculosis. Am J Respir Crit Care Med; 2010; 182(5): 684 - 92.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57. Kuaban C, Noeske J, Rieder HL, </w:t>
      </w:r>
      <w:r w:rsidRPr="00C44A1E">
        <w:rPr>
          <w:rFonts w:ascii="Times New Roman" w:hAnsi="Times New Roman" w:cs="Times New Roman"/>
          <w:noProof/>
          <w:position w:val="-4"/>
          <w:sz w:val="24"/>
          <w:szCs w:val="24"/>
          <w:lang w:eastAsia="ru-RU"/>
        </w:rPr>
        <w:drawing>
          <wp:inline distT="0" distB="0" distL="0" distR="0" wp14:anchorId="5A51D454" wp14:editId="104B7B1A">
            <wp:extent cx="796290" cy="1993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6290"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N, Abena Foe JL, </w:t>
      </w:r>
      <w:r w:rsidRPr="00C44A1E">
        <w:rPr>
          <w:rFonts w:ascii="Times New Roman" w:hAnsi="Times New Roman" w:cs="Times New Roman"/>
          <w:noProof/>
          <w:position w:val="-6"/>
          <w:sz w:val="24"/>
          <w:szCs w:val="24"/>
          <w:lang w:eastAsia="ru-RU"/>
        </w:rPr>
        <w:drawing>
          <wp:inline distT="0" distB="0" distL="0" distR="0" wp14:anchorId="3ABE4D17" wp14:editId="31A0517C">
            <wp:extent cx="618490" cy="2203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A. High effectiveness of a 12-month regimen for MDR-TB patients in Cameroon. Int J Tuberc Lung Dis. 2015; 19(5): 517 - 24.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58. Piubello A, Harouna SH, Souleymane MB, Boukary I, Morou S, Daouda M et al. High cure rate witandardizedsed short-course multidrug-resistant tuberculosis treatment in Niger: no relapses. Int J Tuberc Lung Dis. 2014; 18(10): 1188 - 94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8" w:name="P1479"/>
      <w:bookmarkEnd w:id="58"/>
      <w:r w:rsidRPr="00C44A1E">
        <w:rPr>
          <w:rFonts w:ascii="Times New Roman" w:hAnsi="Times New Roman" w:cs="Times New Roman"/>
          <w:sz w:val="24"/>
          <w:szCs w:val="24"/>
          <w:lang w:val="en-US"/>
        </w:rPr>
        <w:t>59. Tang S, Yao L, Hao X, Zhang X, Liu G, Liu X et al. Efficacy, safety and tolerability of linezolid for the treatment of XDR-TB: a study in China. Eur Respir J. 2015; 45(1): 161 - 70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60. Orenstein EW, Basu S, Shah NS, Andrews JR, Friedland GH, Moll AP, et al. Treatment outcomes among patients with multidrug-resistant tuberculosis: systematic review and meta-analysis. Lancet Infect Dis, 2009; 9: 153 - 61.</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61. Thee S, Garcia-Prats AJ, Donald PR, Hesseling AC, Schaaf HS. </w:t>
      </w:r>
      <w:proofErr w:type="gramStart"/>
      <w:r w:rsidRPr="00C44A1E">
        <w:rPr>
          <w:rFonts w:ascii="Times New Roman" w:hAnsi="Times New Roman" w:cs="Times New Roman"/>
          <w:sz w:val="24"/>
          <w:szCs w:val="24"/>
          <w:lang w:val="en-US"/>
        </w:rPr>
        <w:t>Fluoroquinolones for the treatment of tuberculosis in children.</w:t>
      </w:r>
      <w:proofErr w:type="gramEnd"/>
      <w:r w:rsidRPr="00C44A1E">
        <w:rPr>
          <w:rFonts w:ascii="Times New Roman" w:hAnsi="Times New Roman" w:cs="Times New Roman"/>
          <w:sz w:val="24"/>
          <w:szCs w:val="24"/>
          <w:lang w:val="en-US"/>
        </w:rPr>
        <w:t xml:space="preserve"> </w:t>
      </w:r>
      <w:proofErr w:type="gramStart"/>
      <w:r w:rsidRPr="00C44A1E">
        <w:rPr>
          <w:rFonts w:ascii="Times New Roman" w:hAnsi="Times New Roman" w:cs="Times New Roman"/>
          <w:sz w:val="24"/>
          <w:szCs w:val="24"/>
          <w:lang w:val="en-US"/>
        </w:rPr>
        <w:t>Tuberculosis (Edinb).</w:t>
      </w:r>
      <w:proofErr w:type="gramEnd"/>
      <w:r w:rsidRPr="00C44A1E">
        <w:rPr>
          <w:rFonts w:ascii="Times New Roman" w:hAnsi="Times New Roman" w:cs="Times New Roman"/>
          <w:sz w:val="24"/>
          <w:szCs w:val="24"/>
          <w:lang w:val="en-US"/>
        </w:rPr>
        <w:t xml:space="preserve"> 2015 May; 95(3): 229 - 4502.037. </w:t>
      </w:r>
      <w:proofErr w:type="gramStart"/>
      <w:r w:rsidRPr="00C44A1E">
        <w:rPr>
          <w:rFonts w:ascii="Times New Roman" w:hAnsi="Times New Roman" w:cs="Times New Roman"/>
          <w:sz w:val="24"/>
          <w:szCs w:val="24"/>
          <w:lang w:val="en-US"/>
        </w:rPr>
        <w:t>Epub2015Feb.14.Review. https://www.ncbi.nlm.nih.gov/pubmed/25797610.</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62. Ettehad D, Schaaf HS, Seddon JA, Cooke GS, Ford N. Treatment outcomes for children with multidrug resistant tuberculosis: a systemic review and meta-analysis. Lancet Infect Dis 2012; 12: 449 - 56. https://doi.org/10.1016/S1473-</w:t>
      </w:r>
      <w:proofErr w:type="gramStart"/>
      <w:r w:rsidRPr="00C44A1E">
        <w:rPr>
          <w:rFonts w:ascii="Times New Roman" w:hAnsi="Times New Roman" w:cs="Times New Roman"/>
          <w:sz w:val="24"/>
          <w:szCs w:val="24"/>
          <w:lang w:val="en-US"/>
        </w:rPr>
        <w:t>3099(</w:t>
      </w:r>
      <w:proofErr w:type="gramEnd"/>
      <w:r w:rsidRPr="00C44A1E">
        <w:rPr>
          <w:rFonts w:ascii="Times New Roman" w:hAnsi="Times New Roman" w:cs="Times New Roman"/>
          <w:sz w:val="24"/>
          <w:szCs w:val="24"/>
          <w:lang w:val="en-US"/>
        </w:rPr>
        <w:t>12)70033-6 PMID: 22373593,52.4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63. Seddon JA, Thee S, Jacobs K, Ebrahim A, Hesseling AC, Schaaf HS. Hearing loss in children treated for multidrug-resistant tuberculosis. J Infect. 2013 Apr; 66(4): 320 - 9. https://doi.org/10.1016/j.jinf.2012.09.002 PMID: 22960077</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64. Seddon JA, Hesseling AC, Godfrey-Faussett P, Schaaf HS. High treatment success in children treated for multidrug-resistant tuberculosis: an observational cohort study. </w:t>
      </w:r>
      <w:proofErr w:type="gramStart"/>
      <w:r w:rsidRPr="00C44A1E">
        <w:rPr>
          <w:rFonts w:ascii="Times New Roman" w:hAnsi="Times New Roman" w:cs="Times New Roman"/>
          <w:sz w:val="24"/>
          <w:szCs w:val="24"/>
          <w:lang w:val="en-US"/>
        </w:rPr>
        <w:t>Thorax.</w:t>
      </w:r>
      <w:proofErr w:type="gramEnd"/>
      <w:r w:rsidRPr="00C44A1E">
        <w:rPr>
          <w:rFonts w:ascii="Times New Roman" w:hAnsi="Times New Roman" w:cs="Times New Roman"/>
          <w:sz w:val="24"/>
          <w:szCs w:val="24"/>
          <w:lang w:val="en-US"/>
        </w:rPr>
        <w:t xml:space="preserve"> 2014 May; 69(5): 458 - 64. https://doi.org/10.1136/thoraxjnl-2013-203900 PMID: </w:t>
      </w:r>
      <w:proofErr w:type="gramStart"/>
      <w:r w:rsidRPr="00C44A1E">
        <w:rPr>
          <w:rFonts w:ascii="Times New Roman" w:hAnsi="Times New Roman" w:cs="Times New Roman"/>
          <w:sz w:val="24"/>
          <w:szCs w:val="24"/>
          <w:lang w:val="en-US"/>
        </w:rPr>
        <w:t>24064441.;</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59" w:name="P1485"/>
      <w:bookmarkEnd w:id="59"/>
      <w:r w:rsidRPr="00C44A1E">
        <w:rPr>
          <w:rFonts w:ascii="Times New Roman" w:hAnsi="Times New Roman" w:cs="Times New Roman"/>
          <w:sz w:val="24"/>
          <w:szCs w:val="24"/>
          <w:lang w:val="en-US"/>
        </w:rPr>
        <w:t>65. Harausz EP, Garcia-Prats AJ, Seddon JA, Schaaf HS, Hesseling AC, Achar J, et al; Sentinel Project on Pediatric Drug-Resistant Tuberculosis. New and Repurposed Drugs for Pediatric Multidrug-Resistant Tuberculosis: Practice-Based Recommendations. Am J Respir Crit Care Med. 2017 May 15; 195(10): 1300 - 1310. https://doi.org/10.1164/rccm.201606-1227 CI PMID: 27854508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60" w:name="P1486"/>
      <w:bookmarkEnd w:id="60"/>
      <w:r w:rsidRPr="00C44A1E">
        <w:rPr>
          <w:rFonts w:ascii="Times New Roman" w:hAnsi="Times New Roman" w:cs="Times New Roman"/>
          <w:sz w:val="24"/>
          <w:szCs w:val="24"/>
          <w:lang w:val="en-US"/>
        </w:rPr>
        <w:t>66. Pontali E, Sotgiu G' D'Ambrosio L, et al. Bedaquiline and MDR-TB: a systematic and critical analysis of the evidence. Eur Respir J 2016; 47: 394 - 402.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61" w:name="P1487"/>
      <w:bookmarkEnd w:id="61"/>
      <w:r w:rsidRPr="00C44A1E">
        <w:rPr>
          <w:rFonts w:ascii="Times New Roman" w:hAnsi="Times New Roman" w:cs="Times New Roman"/>
          <w:sz w:val="24"/>
          <w:szCs w:val="24"/>
          <w:lang w:val="en-US"/>
        </w:rPr>
        <w:t xml:space="preserve">67. De Lorenzo S. et al. Efficacy and safety of meropenem-clavulanate added to linezolid-containing regimens in the treatment of MDR-/XDR-TB//European Respiratory Journal. - 2013. - Vol. 41, N 6. - </w:t>
      </w:r>
      <w:proofErr w:type="gramStart"/>
      <w:r w:rsidRPr="00C44A1E">
        <w:rPr>
          <w:rFonts w:ascii="Times New Roman" w:hAnsi="Times New Roman" w:cs="Times New Roman"/>
          <w:sz w:val="24"/>
          <w:szCs w:val="24"/>
        </w:rPr>
        <w:t>Р</w:t>
      </w:r>
      <w:r w:rsidRPr="00C44A1E">
        <w:rPr>
          <w:rFonts w:ascii="Times New Roman" w:hAnsi="Times New Roman" w:cs="Times New Roman"/>
          <w:sz w:val="24"/>
          <w:szCs w:val="24"/>
          <w:lang w:val="en-US"/>
        </w:rPr>
        <w:t>. 1386</w:t>
      </w:r>
      <w:proofErr w:type="gramEnd"/>
      <w:r w:rsidRPr="00C44A1E">
        <w:rPr>
          <w:rFonts w:ascii="Times New Roman" w:hAnsi="Times New Roman" w:cs="Times New Roman"/>
          <w:sz w:val="24"/>
          <w:szCs w:val="24"/>
          <w:lang w:val="en-US"/>
        </w:rPr>
        <w:t xml:space="preserve"> - 1392.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62" w:name="P1488"/>
      <w:bookmarkEnd w:id="62"/>
      <w:r w:rsidRPr="00C44A1E">
        <w:rPr>
          <w:rFonts w:ascii="Times New Roman" w:hAnsi="Times New Roman" w:cs="Times New Roman"/>
          <w:sz w:val="24"/>
          <w:szCs w:val="24"/>
          <w:lang w:val="en-US"/>
        </w:rPr>
        <w:t>68. Tiberi S.G., Sotgiu, L.D'Ambrosio, R. Centis, M. Abdo Arbex, E. Alarcon Arrascue. Comparison of effectiveness and safety of imipenem/clavulanate-versus meropenem/clavulanate-containing regimens in the treatment of MDR- and XDR-TB/Eur Respir J, (2016), http: //dx.doi.org/10.1183/13993003.00214-2016.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63" w:name="P1489"/>
      <w:bookmarkEnd w:id="63"/>
      <w:r w:rsidRPr="00C44A1E">
        <w:rPr>
          <w:rFonts w:ascii="Times New Roman" w:hAnsi="Times New Roman" w:cs="Times New Roman"/>
          <w:sz w:val="24"/>
          <w:szCs w:val="24"/>
        </w:rPr>
        <w:lastRenderedPageBreak/>
        <w:t>69. Хирургия туберкулеза у детей/под редакцией Д.Б. Гиллера. - Москва. 2016. - с. 134 - 315. ISBN 978-5-91851-014-8.</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64" w:name="P1490"/>
      <w:bookmarkEnd w:id="64"/>
      <w:r w:rsidRPr="00C44A1E">
        <w:rPr>
          <w:rFonts w:ascii="Times New Roman" w:hAnsi="Times New Roman" w:cs="Times New Roman"/>
          <w:sz w:val="24"/>
          <w:szCs w:val="24"/>
        </w:rPr>
        <w:t>70. Овсянкина Е.С., Ловачева О.В., Панова Л.В., Хитева А.Ю., Полуэктова Ф.А. Клапанная бронхоблокация в комплексном лечении туберкулеза органов дыхания у подростка. Туберкулез и болезни легких. 2016; 94(6): 43 - 46. https://doi.org/10.21292/2075-1230-2016-94-6-43-46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rPr>
        <w:t>71. Казаков А.В., Можокина Г.Н., Аксенова В.А. и др. Влияние генетического полиморфизма генов ферментов ответственных за биотрансформацию противотуберкулезных препаратов на риск развития гепатотоксических реакций у больных туберкулезом//Антибиотики и химиотерапия. Т</w:t>
      </w:r>
      <w:r w:rsidRPr="00C44A1E">
        <w:rPr>
          <w:rFonts w:ascii="Times New Roman" w:hAnsi="Times New Roman" w:cs="Times New Roman"/>
          <w:sz w:val="24"/>
          <w:szCs w:val="24"/>
          <w:lang w:val="en-US"/>
        </w:rPr>
        <w:t xml:space="preserve">. 63. N 5 - 6. </w:t>
      </w:r>
      <w:proofErr w:type="gramStart"/>
      <w:r w:rsidRPr="00C44A1E">
        <w:rPr>
          <w:rFonts w:ascii="Times New Roman" w:hAnsi="Times New Roman" w:cs="Times New Roman"/>
          <w:sz w:val="24"/>
          <w:szCs w:val="24"/>
          <w:lang w:val="en-US"/>
        </w:rPr>
        <w:t xml:space="preserve">2018 </w:t>
      </w:r>
      <w:r w:rsidRPr="00C44A1E">
        <w:rPr>
          <w:rFonts w:ascii="Times New Roman" w:hAnsi="Times New Roman" w:cs="Times New Roman"/>
          <w:sz w:val="24"/>
          <w:szCs w:val="24"/>
        </w:rPr>
        <w:t>г</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20 - 25.</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72. Xu L. et al. Is the Prophylactic Use of Hepatoprotectants Necessary in Anti-Tuberculosis Treatment</w:t>
      </w:r>
      <w:proofErr w:type="gramStart"/>
      <w:r w:rsidRPr="00C44A1E">
        <w:rPr>
          <w:rFonts w:ascii="Times New Roman" w:hAnsi="Times New Roman" w:cs="Times New Roman"/>
          <w:sz w:val="24"/>
          <w:szCs w:val="24"/>
          <w:lang w:val="en-US"/>
        </w:rPr>
        <w:t>?/</w:t>
      </w:r>
      <w:proofErr w:type="gramEnd"/>
      <w:r w:rsidRPr="00C44A1E">
        <w:rPr>
          <w:rFonts w:ascii="Times New Roman" w:hAnsi="Times New Roman" w:cs="Times New Roman"/>
          <w:sz w:val="24"/>
          <w:szCs w:val="24"/>
          <w:lang w:val="en-US"/>
        </w:rPr>
        <w:t xml:space="preserve">/Chemotherapy. - 2017. </w:t>
      </w:r>
      <w:proofErr w:type="gramStart"/>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w:t>
      </w:r>
      <w:r w:rsidRPr="00C44A1E">
        <w:rPr>
          <w:rFonts w:ascii="Times New Roman" w:hAnsi="Times New Roman" w:cs="Times New Roman"/>
          <w:sz w:val="24"/>
          <w:szCs w:val="24"/>
          <w:lang w:val="en-US"/>
        </w:rPr>
        <w:t>. 62.</w:t>
      </w:r>
      <w:proofErr w:type="gramEnd"/>
      <w:r w:rsidRPr="00C44A1E">
        <w:rPr>
          <w:rFonts w:ascii="Times New Roman" w:hAnsi="Times New Roman" w:cs="Times New Roman"/>
          <w:sz w:val="24"/>
          <w:szCs w:val="24"/>
          <w:lang w:val="en-US"/>
        </w:rPr>
        <w:t xml:space="preserve"> - N. 5. - </w:t>
      </w:r>
      <w:proofErr w:type="gramStart"/>
      <w:r w:rsidRPr="00C44A1E">
        <w:rPr>
          <w:rFonts w:ascii="Times New Roman" w:hAnsi="Times New Roman" w:cs="Times New Roman"/>
          <w:sz w:val="24"/>
          <w:szCs w:val="24"/>
        </w:rPr>
        <w:t>С</w:t>
      </w:r>
      <w:r w:rsidRPr="00C44A1E">
        <w:rPr>
          <w:rFonts w:ascii="Times New Roman" w:hAnsi="Times New Roman" w:cs="Times New Roman"/>
          <w:sz w:val="24"/>
          <w:szCs w:val="24"/>
          <w:lang w:val="en-US"/>
        </w:rPr>
        <w:t>. 269</w:t>
      </w:r>
      <w:proofErr w:type="gramEnd"/>
      <w:r w:rsidRPr="00C44A1E">
        <w:rPr>
          <w:rFonts w:ascii="Times New Roman" w:hAnsi="Times New Roman" w:cs="Times New Roman"/>
          <w:sz w:val="24"/>
          <w:szCs w:val="24"/>
          <w:lang w:val="en-US"/>
        </w:rPr>
        <w:t xml:space="preserve"> - 278.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73. Иванова Д.В. Нежелательные реакции при лечении впервые выявленных больных туберкулезом органов дыхания: профилактика, ранняя диагностика и купирование. Дисс.... д-ра мед</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аук, - Москва, 2018, 334 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74. Рясенский Д.С., Гришкина Н.А. Влияние гепатопротектора" </w:t>
      </w:r>
      <w:r w:rsidRPr="00C44A1E">
        <w:rPr>
          <w:rFonts w:ascii="Times New Roman" w:hAnsi="Times New Roman" w:cs="Times New Roman"/>
          <w:noProof/>
          <w:position w:val="-6"/>
          <w:sz w:val="24"/>
          <w:szCs w:val="24"/>
          <w:lang w:eastAsia="ru-RU"/>
        </w:rPr>
        <w:drawing>
          <wp:inline distT="0" distB="0" distL="0" distR="0" wp14:anchorId="6E62CBA0" wp14:editId="5F2AA133">
            <wp:extent cx="974725"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4725" cy="220345"/>
                    </a:xfrm>
                    <a:prstGeom prst="rect">
                      <a:avLst/>
                    </a:prstGeom>
                    <a:noFill/>
                    <a:ln>
                      <a:noFill/>
                    </a:ln>
                  </pic:spPr>
                </pic:pic>
              </a:graphicData>
            </a:graphic>
          </wp:inline>
        </w:drawing>
      </w:r>
      <w:r w:rsidRPr="00C44A1E">
        <w:rPr>
          <w:rFonts w:ascii="Times New Roman" w:hAnsi="Times New Roman" w:cs="Times New Roman"/>
          <w:sz w:val="24"/>
          <w:szCs w:val="24"/>
        </w:rPr>
        <w:t xml:space="preserve"> на спектр фосфолипидов мононуклеаров периферической крови у больных туберкулезом легких//Клиническая лабораторная диагностика. - 2018. - Т. 63. - N. 11.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75. Г.С. Баласанянц. Концепция развития фтизиатрической санаторной помощи больным туберкулезом в Российской Федерации Медицинский альянс научно-практический журнал. - СПб, 2013. - N 4. - стр. 79 - 83.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76. Обновленные рекомендации ВОЗ по ведению латентной туберкулезной инфекции, 2018 год, [Электронный ресурс]. Режим доступа: https://coinfection.net/rukovodstvo-po-vedeniyu-pacientov-s-latentnoj-tuberkuleznoj-infekciej/</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65" w:name="P1497"/>
      <w:bookmarkEnd w:id="65"/>
      <w:r w:rsidRPr="00C44A1E">
        <w:rPr>
          <w:rFonts w:ascii="Times New Roman" w:hAnsi="Times New Roman" w:cs="Times New Roman"/>
          <w:sz w:val="24"/>
          <w:szCs w:val="24"/>
          <w:lang w:val="en-US"/>
        </w:rPr>
        <w:t>77. TB/HIV: a clinical manual, 2nd ed. Geneva, WHO, 2004 (WHO/HTM/TB/2004.329 https://apps.who.int/iris/bitstream/handle/10665/42830/9244546345_rus.pdf;jsessionid=C5B42F73300F1DFA062AEFE2F2B45A3C?sequence=3</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66" w:name="P1498"/>
      <w:bookmarkEnd w:id="66"/>
      <w:r w:rsidRPr="00C44A1E">
        <w:rPr>
          <w:rFonts w:ascii="Times New Roman" w:hAnsi="Times New Roman" w:cs="Times New Roman"/>
          <w:sz w:val="24"/>
          <w:szCs w:val="24"/>
        </w:rPr>
        <w:t>78. Клевно Н.И. Туберкулез у детей, больных ВИЧ-инфекцией (распространенность, особенности клинических проявлений, диагностика, лечение, профилактика). Автореф. дис.... д-ра мед</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н</w:t>
      </w:r>
      <w:proofErr w:type="gramEnd"/>
      <w:r w:rsidRPr="00C44A1E">
        <w:rPr>
          <w:rFonts w:ascii="Times New Roman" w:hAnsi="Times New Roman" w:cs="Times New Roman"/>
          <w:sz w:val="24"/>
          <w:szCs w:val="24"/>
        </w:rPr>
        <w:t>аук. - Москва</w:t>
      </w:r>
      <w:proofErr w:type="gramStart"/>
      <w:r w:rsidRPr="00C44A1E">
        <w:rPr>
          <w:rFonts w:ascii="Times New Roman" w:hAnsi="Times New Roman" w:cs="Times New Roman"/>
          <w:sz w:val="24"/>
          <w:szCs w:val="24"/>
        </w:rPr>
        <w:t xml:space="preserve">., </w:t>
      </w:r>
      <w:proofErr w:type="gramEnd"/>
      <w:r w:rsidRPr="00C44A1E">
        <w:rPr>
          <w:rFonts w:ascii="Times New Roman" w:hAnsi="Times New Roman" w:cs="Times New Roman"/>
          <w:sz w:val="24"/>
          <w:szCs w:val="24"/>
        </w:rPr>
        <w:t>2015, 49 с.</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67" w:name="P1499"/>
      <w:bookmarkEnd w:id="67"/>
      <w:r w:rsidRPr="00C44A1E">
        <w:rPr>
          <w:rFonts w:ascii="Times New Roman" w:hAnsi="Times New Roman" w:cs="Times New Roman"/>
          <w:sz w:val="24"/>
          <w:szCs w:val="24"/>
        </w:rPr>
        <w:t>79. ВИЧ-инфекция и СПИД: Национальное руководство/под редакцией акад. РАМН В.В. Покровского - М.: ГЭОТАР-Медиа, 2013. - 608 с. ISBN 978-5-9704-2442-1.С-160.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68" w:name="P1500"/>
      <w:bookmarkEnd w:id="68"/>
      <w:r w:rsidRPr="00C44A1E">
        <w:rPr>
          <w:rFonts w:ascii="Times New Roman" w:hAnsi="Times New Roman" w:cs="Times New Roman"/>
          <w:sz w:val="24"/>
          <w:szCs w:val="24"/>
          <w:lang w:val="en-US"/>
        </w:rPr>
        <w:t>80. Lienhardt C, Rodriques LC. Estimation of the impact of the human immunodeficiency virus infection on tuberculosis: tuberculosis risks revised? International Journal of Tuberculosis and Lung Diseases, 1997, 1(3): 196 - 204.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81. Anthony J Garcia-Prats, Heather R Draper, Heather Finlayson, Jana Winckler, </w:t>
      </w:r>
      <w:r w:rsidRPr="00C44A1E">
        <w:rPr>
          <w:rFonts w:ascii="Times New Roman" w:hAnsi="Times New Roman" w:cs="Times New Roman"/>
          <w:noProof/>
          <w:position w:val="-4"/>
          <w:sz w:val="24"/>
          <w:szCs w:val="24"/>
          <w:lang w:eastAsia="ru-RU"/>
        </w:rPr>
        <w:drawing>
          <wp:inline distT="0" distB="0" distL="0" distR="0" wp14:anchorId="017706E9" wp14:editId="4E50C2E7">
            <wp:extent cx="471805" cy="1993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1805"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Burger, Barend Fourie, Stephanie Thee, Anneke C Hesseling, H Simon Schaaf Author Notes. </w:t>
      </w:r>
      <w:proofErr w:type="gramStart"/>
      <w:r w:rsidRPr="00C44A1E">
        <w:rPr>
          <w:rFonts w:ascii="Times New Roman" w:hAnsi="Times New Roman" w:cs="Times New Roman"/>
          <w:sz w:val="24"/>
          <w:szCs w:val="24"/>
          <w:lang w:val="en-US"/>
        </w:rPr>
        <w:t>Clinical and Cardiac Safety of Long-term Levofloxacin in Children Treated for Multidrug-resistant Tuberculosis.</w:t>
      </w:r>
      <w:proofErr w:type="gramEnd"/>
      <w:r w:rsidRPr="00C44A1E">
        <w:rPr>
          <w:rFonts w:ascii="Times New Roman" w:hAnsi="Times New Roman" w:cs="Times New Roman"/>
          <w:sz w:val="24"/>
          <w:szCs w:val="24"/>
          <w:lang w:val="en-US"/>
        </w:rPr>
        <w:t xml:space="preserve"> Clinical Infectious Diseases, Volume 67, Issue 11, 1 December 2018, Pages 1777 - 1780, https://doi.org/10.1093/cid/ciy416.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proofErr w:type="gramStart"/>
      <w:r w:rsidRPr="00C44A1E">
        <w:rPr>
          <w:rFonts w:ascii="Times New Roman" w:hAnsi="Times New Roman" w:cs="Times New Roman"/>
          <w:sz w:val="24"/>
          <w:szCs w:val="24"/>
          <w:lang w:val="en-US"/>
        </w:rPr>
        <w:lastRenderedPageBreak/>
        <w:t>82. H. Simon Schaaf, Robert P. Gie, Magdalene Kennedy, Nulda Beyers, Peter B. Hesseling and Peter R. Donald.</w:t>
      </w:r>
      <w:proofErr w:type="gramEnd"/>
      <w:r w:rsidRPr="00C44A1E">
        <w:rPr>
          <w:rFonts w:ascii="Times New Roman" w:hAnsi="Times New Roman" w:cs="Times New Roman"/>
          <w:sz w:val="24"/>
          <w:szCs w:val="24"/>
          <w:lang w:val="en-US"/>
        </w:rPr>
        <w:t xml:space="preserve"> Evaluation of Young Children in Contact With Adult Multidrug-Resistant Pulmonary Tuberculosis: A 30-Month Follow-up. </w:t>
      </w:r>
      <w:proofErr w:type="gramStart"/>
      <w:r w:rsidRPr="00C44A1E">
        <w:rPr>
          <w:rFonts w:ascii="Times New Roman" w:hAnsi="Times New Roman" w:cs="Times New Roman"/>
          <w:sz w:val="24"/>
          <w:szCs w:val="24"/>
          <w:lang w:val="en-US"/>
        </w:rPr>
        <w:t>Pediatrics.</w:t>
      </w:r>
      <w:proofErr w:type="gramEnd"/>
      <w:r w:rsidRPr="00C44A1E">
        <w:rPr>
          <w:rFonts w:ascii="Times New Roman" w:hAnsi="Times New Roman" w:cs="Times New Roman"/>
          <w:sz w:val="24"/>
          <w:szCs w:val="24"/>
          <w:lang w:val="en-US"/>
        </w:rPr>
        <w:t xml:space="preserve"> May 2002, 109 (5) 765 - 771; DOI: https: //doi.org/10.1542/peds.109.5.765.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69" w:name="P1503"/>
      <w:bookmarkEnd w:id="69"/>
      <w:r w:rsidRPr="00C44A1E">
        <w:rPr>
          <w:rFonts w:ascii="Times New Roman" w:hAnsi="Times New Roman" w:cs="Times New Roman"/>
          <w:sz w:val="24"/>
          <w:szCs w:val="24"/>
          <w:lang w:val="en-US"/>
        </w:rPr>
        <w:t xml:space="preserve">83. Ameneh Khatami, Philip N.Britton, Ben J.Marais. </w:t>
      </w:r>
      <w:proofErr w:type="gramStart"/>
      <w:r w:rsidRPr="00C44A1E">
        <w:rPr>
          <w:rFonts w:ascii="Times New Roman" w:hAnsi="Times New Roman" w:cs="Times New Roman"/>
          <w:sz w:val="24"/>
          <w:szCs w:val="24"/>
          <w:lang w:val="en-US"/>
        </w:rPr>
        <w:t>Management of Children with Tuberculosis.</w:t>
      </w:r>
      <w:proofErr w:type="gramEnd"/>
      <w:r w:rsidRPr="00C44A1E">
        <w:rPr>
          <w:rFonts w:ascii="Times New Roman" w:hAnsi="Times New Roman" w:cs="Times New Roman"/>
          <w:sz w:val="24"/>
          <w:szCs w:val="24"/>
          <w:lang w:val="en-US"/>
        </w:rPr>
        <w:t xml:space="preserve"> Clin Chest Med 40 (2019) 797 - 810. </w:t>
      </w:r>
      <w:proofErr w:type="gramStart"/>
      <w:r w:rsidRPr="00C44A1E">
        <w:rPr>
          <w:rFonts w:ascii="Times New Roman" w:hAnsi="Times New Roman" w:cs="Times New Roman"/>
          <w:sz w:val="24"/>
          <w:szCs w:val="24"/>
          <w:lang w:val="en-US"/>
        </w:rPr>
        <w:t>https</w:t>
      </w:r>
      <w:proofErr w:type="gramEnd"/>
      <w:r w:rsidRPr="00C44A1E">
        <w:rPr>
          <w:rFonts w:ascii="Times New Roman" w:hAnsi="Times New Roman" w:cs="Times New Roman"/>
          <w:sz w:val="24"/>
          <w:szCs w:val="24"/>
          <w:lang w:val="en-US"/>
        </w:rPr>
        <w:t>: //doi.org/10.1016/j.ccm.2019.08.003</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0" w:name="P1504"/>
      <w:bookmarkEnd w:id="70"/>
      <w:r w:rsidRPr="00C44A1E">
        <w:rPr>
          <w:rFonts w:ascii="Times New Roman" w:hAnsi="Times New Roman" w:cs="Times New Roman"/>
          <w:sz w:val="24"/>
          <w:szCs w:val="24"/>
          <w:lang w:val="en-US"/>
        </w:rPr>
        <w:t>84. WHO operational handbook on tuberculosis: module 5: management of tuberculosis in children and adolescents Geneva: World Health Organization; 2022 https://iris.who.int/bitstream/handle/10665/352523/9789240046832-eng.pdf?sequence=1)</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1" w:name="P1505"/>
      <w:bookmarkEnd w:id="71"/>
      <w:r w:rsidRPr="00C44A1E">
        <w:rPr>
          <w:rFonts w:ascii="Times New Roman" w:hAnsi="Times New Roman" w:cs="Times New Roman"/>
          <w:sz w:val="24"/>
          <w:szCs w:val="24"/>
          <w:lang w:val="en-US"/>
        </w:rPr>
        <w:t xml:space="preserve">85. WHO consolidated guidelines on </w:t>
      </w:r>
      <w:proofErr w:type="gramStart"/>
      <w:r w:rsidRPr="00C44A1E">
        <w:rPr>
          <w:rFonts w:ascii="Times New Roman" w:hAnsi="Times New Roman" w:cs="Times New Roman"/>
          <w:sz w:val="24"/>
          <w:szCs w:val="24"/>
          <w:lang w:val="en-US"/>
        </w:rPr>
        <w:t>tuberculosis.</w:t>
      </w:r>
      <w:proofErr w:type="gramEnd"/>
      <w:r w:rsidRPr="00C44A1E">
        <w:rPr>
          <w:rFonts w:ascii="Times New Roman" w:hAnsi="Times New Roman" w:cs="Times New Roman"/>
          <w:sz w:val="24"/>
          <w:szCs w:val="24"/>
          <w:lang w:val="en-US"/>
        </w:rPr>
        <w:t xml:space="preserve"> Module 3: diagnosis - rapid diagnostics for tuberculosis detection, 2021 update. Geneva: World Health Organization; 2021 (https://apps.who.int/iris/handle/10665/342331, </w:t>
      </w:r>
      <w:r w:rsidRPr="00C44A1E">
        <w:rPr>
          <w:rFonts w:ascii="Times New Roman" w:hAnsi="Times New Roman" w:cs="Times New Roman"/>
          <w:sz w:val="24"/>
          <w:szCs w:val="24"/>
        </w:rPr>
        <w:t>по</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состоянию</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на</w:t>
      </w:r>
      <w:r w:rsidRPr="00C44A1E">
        <w:rPr>
          <w:rFonts w:ascii="Times New Roman" w:hAnsi="Times New Roman" w:cs="Times New Roman"/>
          <w:sz w:val="24"/>
          <w:szCs w:val="24"/>
          <w:lang w:val="en-US"/>
        </w:rPr>
        <w:t xml:space="preserve"> 23 </w:t>
      </w:r>
      <w:r w:rsidRPr="00C44A1E">
        <w:rPr>
          <w:rFonts w:ascii="Times New Roman" w:hAnsi="Times New Roman" w:cs="Times New Roman"/>
          <w:sz w:val="24"/>
          <w:szCs w:val="24"/>
        </w:rPr>
        <w:t>июля</w:t>
      </w:r>
      <w:r w:rsidRPr="00C44A1E">
        <w:rPr>
          <w:rFonts w:ascii="Times New Roman" w:hAnsi="Times New Roman" w:cs="Times New Roman"/>
          <w:sz w:val="24"/>
          <w:szCs w:val="24"/>
          <w:lang w:val="en-US"/>
        </w:rPr>
        <w:t xml:space="preserve"> 2022 </w:t>
      </w:r>
      <w:r w:rsidRPr="00C44A1E">
        <w:rPr>
          <w:rFonts w:ascii="Times New Roman" w:hAnsi="Times New Roman" w:cs="Times New Roman"/>
          <w:sz w:val="24"/>
          <w:szCs w:val="24"/>
        </w:rPr>
        <w:t>г</w:t>
      </w:r>
      <w:r w:rsidRPr="00C44A1E">
        <w:rPr>
          <w:rFonts w:ascii="Times New Roman" w:hAnsi="Times New Roman" w:cs="Times New Roman"/>
          <w:sz w:val="24"/>
          <w:szCs w:val="24"/>
          <w:lang w:val="en-US"/>
        </w:rPr>
        <w:t>.)</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86. Migliori GB </w:t>
      </w:r>
      <w:proofErr w:type="gramStart"/>
      <w:r w:rsidRPr="00C44A1E">
        <w:rPr>
          <w:rFonts w:ascii="Times New Roman" w:hAnsi="Times New Roman" w:cs="Times New Roman"/>
          <w:sz w:val="24"/>
          <w:szCs w:val="24"/>
          <w:lang w:val="en-US"/>
        </w:rPr>
        <w:t>et</w:t>
      </w:r>
      <w:proofErr w:type="gramEnd"/>
      <w:r w:rsidRPr="00C44A1E">
        <w:rPr>
          <w:rFonts w:ascii="Times New Roman" w:hAnsi="Times New Roman" w:cs="Times New Roman"/>
          <w:sz w:val="24"/>
          <w:szCs w:val="24"/>
          <w:lang w:val="en-US"/>
        </w:rPr>
        <w:t xml:space="preserve"> all ERS/ECDC Statement: European Union standards for tuberculosis care, 2017 update. Eur Respir J. 2018 May 17; 51(5): 1702678.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10.1183/13993003.02678-2017. PMID: 29678945.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2" w:name="P1507"/>
      <w:bookmarkEnd w:id="72"/>
      <w:r w:rsidRPr="00C44A1E">
        <w:rPr>
          <w:rFonts w:ascii="Times New Roman" w:hAnsi="Times New Roman" w:cs="Times New Roman"/>
          <w:sz w:val="24"/>
          <w:szCs w:val="24"/>
          <w:lang w:val="en-US"/>
        </w:rPr>
        <w:t>87. Lin S. Y., Desmond E., Bonato D. et al. Multicenter evaluation of Bactec MGIT 960 system for second-line drug susceptibility testing of mycobacterium tuberculosis complex. J Clin Microbiol 2009; No 47 (11): 3630 - 3634.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88. Pfyffer G. E., Bonato </w:t>
      </w:r>
      <w:proofErr w:type="gramStart"/>
      <w:r w:rsidRPr="00C44A1E">
        <w:rPr>
          <w:rFonts w:ascii="Times New Roman" w:hAnsi="Times New Roman" w:cs="Times New Roman"/>
          <w:sz w:val="24"/>
          <w:szCs w:val="24"/>
          <w:lang w:val="en-US"/>
        </w:rPr>
        <w:t>D.A..</w:t>
      </w:r>
      <w:proofErr w:type="gramEnd"/>
      <w:r w:rsidRPr="00C44A1E">
        <w:rPr>
          <w:rFonts w:ascii="Times New Roman" w:hAnsi="Times New Roman" w:cs="Times New Roman"/>
          <w:sz w:val="24"/>
          <w:szCs w:val="24"/>
          <w:lang w:val="en-US"/>
        </w:rPr>
        <w:t xml:space="preserve"> </w:t>
      </w:r>
      <w:proofErr w:type="gramStart"/>
      <w:r w:rsidRPr="00C44A1E">
        <w:rPr>
          <w:rFonts w:ascii="Times New Roman" w:hAnsi="Times New Roman" w:cs="Times New Roman"/>
          <w:sz w:val="24"/>
          <w:szCs w:val="24"/>
          <w:lang w:val="en-US"/>
        </w:rPr>
        <w:t>Ebrahimzadeh A. et al. Multicenter laboratory validation of susceptibility testing of mycobacterium tuberculosis against classical second-line and newer antimicrobial drugs by using the radiometric BACTEC 460 technique and the proportion method with solid media.</w:t>
      </w:r>
      <w:proofErr w:type="gramEnd"/>
      <w:r w:rsidRPr="00C44A1E">
        <w:rPr>
          <w:rFonts w:ascii="Times New Roman" w:hAnsi="Times New Roman" w:cs="Times New Roman"/>
          <w:sz w:val="24"/>
          <w:szCs w:val="24"/>
          <w:lang w:val="en-US"/>
        </w:rPr>
        <w:t xml:space="preserve"> J Clin Microbiol 1999; No 37 (10): 3179 - 3186.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89. Rusch-Gerdes S., Pfyffer G.E., Casal M. et al. Multicenter laboratory validation of the BACTEC MGIT 960 technique for testing susceptibilities of mycobacterium tuberculosis to classical second-line drugs and newer antimicrobials. J Clin Microbiol 2006; No 44 (3): 688 - 692.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3" w:name="P1510"/>
      <w:bookmarkEnd w:id="73"/>
      <w:r w:rsidRPr="00C44A1E">
        <w:rPr>
          <w:rFonts w:ascii="Times New Roman" w:hAnsi="Times New Roman" w:cs="Times New Roman"/>
          <w:sz w:val="24"/>
          <w:szCs w:val="24"/>
          <w:lang w:val="en-US"/>
        </w:rPr>
        <w:t xml:space="preserve">90. Siddiqi S. H., </w:t>
      </w:r>
      <w:r w:rsidRPr="00C44A1E">
        <w:rPr>
          <w:rFonts w:ascii="Times New Roman" w:hAnsi="Times New Roman" w:cs="Times New Roman"/>
          <w:noProof/>
          <w:position w:val="-4"/>
          <w:sz w:val="24"/>
          <w:szCs w:val="24"/>
          <w:lang w:eastAsia="ru-RU"/>
        </w:rPr>
        <w:drawing>
          <wp:inline distT="0" distB="0" distL="0" distR="0" wp14:anchorId="0B5202D8" wp14:editId="6443DF20">
            <wp:extent cx="995680" cy="19939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5680"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S. MGIT procedure manual. </w:t>
      </w:r>
      <w:proofErr w:type="gramStart"/>
      <w:r w:rsidRPr="00C44A1E">
        <w:rPr>
          <w:rFonts w:ascii="Times New Roman" w:hAnsi="Times New Roman" w:cs="Times New Roman"/>
          <w:sz w:val="24"/>
          <w:szCs w:val="24"/>
          <w:lang w:val="en-US"/>
        </w:rPr>
        <w:t>For BACTEC MGIT 960 TB system (Also applicable for Manual MGIT).</w:t>
      </w:r>
      <w:proofErr w:type="gramEnd"/>
      <w:r w:rsidRPr="00C44A1E">
        <w:rPr>
          <w:rFonts w:ascii="Times New Roman" w:hAnsi="Times New Roman" w:cs="Times New Roman"/>
          <w:sz w:val="24"/>
          <w:szCs w:val="24"/>
          <w:lang w:val="en-US"/>
        </w:rPr>
        <w:t xml:space="preserve"> Mycobacteria growth indicator tube (MGIT) culture and drug susceptibility demonstration projects. </w:t>
      </w:r>
      <w:proofErr w:type="gramStart"/>
      <w:r w:rsidRPr="00C44A1E">
        <w:rPr>
          <w:rFonts w:ascii="Times New Roman" w:hAnsi="Times New Roman" w:cs="Times New Roman"/>
          <w:sz w:val="24"/>
          <w:szCs w:val="24"/>
          <w:lang w:val="en-US"/>
        </w:rPr>
        <w:t>Foundation for innovative new diagnostics, 2006.</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4" w:name="P1511"/>
      <w:bookmarkEnd w:id="74"/>
      <w:r w:rsidRPr="00C44A1E">
        <w:rPr>
          <w:rFonts w:ascii="Times New Roman" w:hAnsi="Times New Roman" w:cs="Times New Roman"/>
          <w:sz w:val="24"/>
          <w:szCs w:val="24"/>
          <w:lang w:val="en-US"/>
        </w:rPr>
        <w:t>91. Rapid diagnostics of tuberculosis and its resistances. Nehren: Germany: Hain lifescience GmbH, 2015. http://www.hain-lifescience.de/uploadfiles/file/produkte/mikrobiologie/mykobakterien/tb_eng.pdf.</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5" w:name="P1512"/>
      <w:bookmarkEnd w:id="75"/>
      <w:r w:rsidRPr="00C44A1E">
        <w:rPr>
          <w:rFonts w:ascii="Times New Roman" w:hAnsi="Times New Roman" w:cs="Times New Roman"/>
          <w:sz w:val="24"/>
          <w:szCs w:val="24"/>
          <w:lang w:val="en-US"/>
        </w:rPr>
        <w:t xml:space="preserve">92. Pradipta </w:t>
      </w:r>
      <w:proofErr w:type="gramStart"/>
      <w:r w:rsidRPr="00C44A1E">
        <w:rPr>
          <w:rFonts w:ascii="Times New Roman" w:hAnsi="Times New Roman" w:cs="Times New Roman"/>
          <w:sz w:val="24"/>
          <w:szCs w:val="24"/>
          <w:lang w:val="en-US"/>
        </w:rPr>
        <w:t>IS,</w:t>
      </w:r>
      <w:proofErr w:type="gramEnd"/>
      <w:r w:rsidRPr="00C44A1E">
        <w:rPr>
          <w:rFonts w:ascii="Times New Roman" w:hAnsi="Times New Roman" w:cs="Times New Roman"/>
          <w:sz w:val="24"/>
          <w:szCs w:val="24"/>
          <w:lang w:val="en-US"/>
        </w:rPr>
        <w:t xml:space="preserve"> Forsman LD, Bruchfeld J, Hak E, Alffenaar JW. Risk factors of multidrug-resistant tuberculosis: A global systematic review and meta-analysis. J Infect. 2018 Dec; 77(6): 469 - 478.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10.1016/j.jinf.2018.10.004. Epub 2018 Oct 16. PMID: 30339803.</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6" w:name="P1513"/>
      <w:bookmarkEnd w:id="76"/>
      <w:r w:rsidRPr="00C44A1E">
        <w:rPr>
          <w:rFonts w:ascii="Times New Roman" w:hAnsi="Times New Roman" w:cs="Times New Roman"/>
          <w:sz w:val="24"/>
          <w:szCs w:val="24"/>
          <w:lang w:val="en-US"/>
        </w:rPr>
        <w:t xml:space="preserve">93. Maruri F, Sterling TR, Kaiga AW, Blackman A, van der Heijden YF, Mayer C, Cambau E, Aubry A. A systematic review of gyrase mutations associated with fluoroquinolone-resistant Mycobacterium tuberculosis and a proposed gyrase numbering system. </w:t>
      </w:r>
      <w:proofErr w:type="gramStart"/>
      <w:r w:rsidRPr="00C44A1E">
        <w:rPr>
          <w:rFonts w:ascii="Times New Roman" w:hAnsi="Times New Roman" w:cs="Times New Roman"/>
          <w:sz w:val="24"/>
          <w:szCs w:val="24"/>
          <w:lang w:val="en-US"/>
        </w:rPr>
        <w:t>J Antimicrob Chemother.</w:t>
      </w:r>
      <w:proofErr w:type="gramEnd"/>
      <w:r w:rsidRPr="00C44A1E">
        <w:rPr>
          <w:rFonts w:ascii="Times New Roman" w:hAnsi="Times New Roman" w:cs="Times New Roman"/>
          <w:sz w:val="24"/>
          <w:szCs w:val="24"/>
          <w:lang w:val="en-US"/>
        </w:rPr>
        <w:t xml:space="preserve"> 2012 Apr; 67(4): 819 - 31.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10.1093/jac/dkr566. Epub 2012 Jan 25.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94. Simultaneous drug resistance detection and genotyping of Mycobacterium tuberculosis using a low-density hydrogel microarray. </w:t>
      </w:r>
      <w:proofErr w:type="gramStart"/>
      <w:r w:rsidRPr="00C44A1E">
        <w:rPr>
          <w:rFonts w:ascii="Times New Roman" w:hAnsi="Times New Roman" w:cs="Times New Roman"/>
          <w:sz w:val="24"/>
          <w:szCs w:val="24"/>
          <w:lang w:val="en-US"/>
        </w:rPr>
        <w:t>J Antimicrob Chemother.</w:t>
      </w:r>
      <w:proofErr w:type="gramEnd"/>
      <w:r w:rsidRPr="00C44A1E">
        <w:rPr>
          <w:rFonts w:ascii="Times New Roman" w:hAnsi="Times New Roman" w:cs="Times New Roman"/>
          <w:sz w:val="24"/>
          <w:szCs w:val="24"/>
          <w:lang w:val="en-US"/>
        </w:rPr>
        <w:t xml:space="preserve"> 2016 Jun; 71(6): 1520 - 31.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10.1093/jac/dkw015. Epub 2016 Feb 29</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7" w:name="P1515"/>
      <w:bookmarkEnd w:id="77"/>
      <w:r w:rsidRPr="00C44A1E">
        <w:rPr>
          <w:rFonts w:ascii="Times New Roman" w:hAnsi="Times New Roman" w:cs="Times New Roman"/>
          <w:sz w:val="24"/>
          <w:szCs w:val="24"/>
          <w:lang w:val="en-US"/>
        </w:rPr>
        <w:lastRenderedPageBreak/>
        <w:t xml:space="preserve">95. Chang KC, Yew WW, Chan RC. Rapid assays for fluoroquinolone resistance in Mycobacterium tuberculosis: a systematic review and meta-analysis. </w:t>
      </w:r>
      <w:proofErr w:type="gramStart"/>
      <w:r w:rsidRPr="00C44A1E">
        <w:rPr>
          <w:rFonts w:ascii="Times New Roman" w:hAnsi="Times New Roman" w:cs="Times New Roman"/>
          <w:sz w:val="24"/>
          <w:szCs w:val="24"/>
          <w:lang w:val="en-US"/>
        </w:rPr>
        <w:t>J Antimicrob Chemother.</w:t>
      </w:r>
      <w:proofErr w:type="gramEnd"/>
      <w:r w:rsidRPr="00C44A1E">
        <w:rPr>
          <w:rFonts w:ascii="Times New Roman" w:hAnsi="Times New Roman" w:cs="Times New Roman"/>
          <w:sz w:val="24"/>
          <w:szCs w:val="24"/>
          <w:lang w:val="en-US"/>
        </w:rPr>
        <w:t xml:space="preserve"> </w:t>
      </w:r>
      <w:proofErr w:type="gramStart"/>
      <w:r w:rsidRPr="00C44A1E">
        <w:rPr>
          <w:rFonts w:ascii="Times New Roman" w:hAnsi="Times New Roman" w:cs="Times New Roman"/>
          <w:sz w:val="24"/>
          <w:szCs w:val="24"/>
          <w:lang w:val="en-US"/>
        </w:rPr>
        <w:t>2010; 65: 1551 - 61.</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8" w:name="P1516"/>
      <w:bookmarkEnd w:id="78"/>
      <w:r w:rsidRPr="00C44A1E">
        <w:rPr>
          <w:rFonts w:ascii="Times New Roman" w:hAnsi="Times New Roman" w:cs="Times New Roman"/>
          <w:sz w:val="24"/>
          <w:szCs w:val="24"/>
          <w:lang w:val="en-US"/>
        </w:rPr>
        <w:t>96. Zignol M, Dean AS, Alikhanova N, Andres S, Cabibbe AM, Cirillo DM et al. Population-based resistance of Mycobacterium tuberculosis isolates to pyrazinamide and fluoroquinolones: results from a multicountry surveillance project. Lancet Infect Dis. 2016; 16(10): 1185 - 92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79" w:name="P1517"/>
      <w:bookmarkEnd w:id="79"/>
      <w:r w:rsidRPr="00C44A1E">
        <w:rPr>
          <w:rFonts w:ascii="Times New Roman" w:hAnsi="Times New Roman" w:cs="Times New Roman"/>
          <w:sz w:val="24"/>
          <w:szCs w:val="24"/>
          <w:lang w:val="en-US"/>
        </w:rPr>
        <w:t xml:space="preserve">97. Avalos E, Catanzaro D, Catanzaro A, Ganiats T, Brodine S, Alcaraz J, Rodwell T. Frequency and geographic distribution of gyrA and gyrB mutations associated with fluoroquinolone resistance in clinical Mycobacterium tuberculosis isolates: a systematic review. </w:t>
      </w:r>
      <w:proofErr w:type="gramStart"/>
      <w:r w:rsidRPr="00C44A1E">
        <w:rPr>
          <w:rFonts w:ascii="Times New Roman" w:hAnsi="Times New Roman" w:cs="Times New Roman"/>
          <w:sz w:val="24"/>
          <w:szCs w:val="24"/>
          <w:lang w:val="en-US"/>
        </w:rPr>
        <w:t>PLoS One.</w:t>
      </w:r>
      <w:proofErr w:type="gramEnd"/>
      <w:r w:rsidRPr="00C44A1E">
        <w:rPr>
          <w:rFonts w:ascii="Times New Roman" w:hAnsi="Times New Roman" w:cs="Times New Roman"/>
          <w:sz w:val="24"/>
          <w:szCs w:val="24"/>
          <w:lang w:val="en-US"/>
        </w:rPr>
        <w:t xml:space="preserve"> 2015 Mar 27; 10(3): e0120470.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xml:space="preserve">: 10.1371/journal.pone.0120470. </w:t>
      </w:r>
      <w:proofErr w:type="gramStart"/>
      <w:r w:rsidRPr="00C44A1E">
        <w:rPr>
          <w:rFonts w:ascii="Times New Roman" w:hAnsi="Times New Roman" w:cs="Times New Roman"/>
          <w:sz w:val="24"/>
          <w:szCs w:val="24"/>
          <w:lang w:val="en-US"/>
        </w:rPr>
        <w:t>eCollection</w:t>
      </w:r>
      <w:proofErr w:type="gramEnd"/>
      <w:r w:rsidRPr="00C44A1E">
        <w:rPr>
          <w:rFonts w:ascii="Times New Roman" w:hAnsi="Times New Roman" w:cs="Times New Roman"/>
          <w:sz w:val="24"/>
          <w:szCs w:val="24"/>
          <w:lang w:val="en-US"/>
        </w:rPr>
        <w:t xml:space="preserve"> 2015.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0" w:name="P1518"/>
      <w:bookmarkEnd w:id="80"/>
      <w:r w:rsidRPr="00C44A1E">
        <w:rPr>
          <w:rFonts w:ascii="Times New Roman" w:hAnsi="Times New Roman" w:cs="Times New Roman"/>
          <w:sz w:val="24"/>
          <w:szCs w:val="24"/>
          <w:lang w:val="en-US"/>
        </w:rPr>
        <w:t>98. D. Falzon, N. Gandhi, G.B. Migliori, G. Sotgiu, H. Cox, T.H. Holtz, M.G. Hollm-Delgado, S. Keshavjee, K. DeRiemer,R. Centis, L. D'Ambrosio, C. Lange, M. Bauer, and D. Menzies. Resistance to fluoroquinolones and second-line injectable drugs: impact on MDR-TB outcomes. Eur Respir J. 2013 Jul; 42(1): 156 - 168.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1" w:name="P1519"/>
      <w:bookmarkEnd w:id="81"/>
      <w:r w:rsidRPr="00C44A1E">
        <w:rPr>
          <w:rFonts w:ascii="Times New Roman" w:hAnsi="Times New Roman" w:cs="Times New Roman"/>
          <w:sz w:val="24"/>
          <w:szCs w:val="24"/>
          <w:lang w:val="en-US"/>
        </w:rPr>
        <w:t xml:space="preserve">99. Ha Y. W. et al. Rare case of pulmonary lymphomatoid granulomatosis in conjunction with tuberculosis: A case report//Medicine. - 2017. </w:t>
      </w:r>
      <w:proofErr w:type="gramStart"/>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w:t>
      </w:r>
      <w:r w:rsidRPr="00C44A1E">
        <w:rPr>
          <w:rFonts w:ascii="Times New Roman" w:hAnsi="Times New Roman" w:cs="Times New Roman"/>
          <w:sz w:val="24"/>
          <w:szCs w:val="24"/>
          <w:lang w:val="en-US"/>
        </w:rPr>
        <w:t>. 96.</w:t>
      </w:r>
      <w:proofErr w:type="gramEnd"/>
      <w:r w:rsidRPr="00C44A1E">
        <w:rPr>
          <w:rFonts w:ascii="Times New Roman" w:hAnsi="Times New Roman" w:cs="Times New Roman"/>
          <w:sz w:val="24"/>
          <w:szCs w:val="24"/>
          <w:lang w:val="en-US"/>
        </w:rPr>
        <w:t xml:space="preserve"> - N. 42.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100. Lee Y. J. et al. Pulmonary histoplasmosis identified by video-assisted thoracic surgery (VATS) biopsy: A case report//Journal of Korean medical science. - 2018. </w:t>
      </w:r>
      <w:proofErr w:type="gramStart"/>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w:t>
      </w:r>
      <w:r w:rsidRPr="00C44A1E">
        <w:rPr>
          <w:rFonts w:ascii="Times New Roman" w:hAnsi="Times New Roman" w:cs="Times New Roman"/>
          <w:sz w:val="24"/>
          <w:szCs w:val="24"/>
          <w:lang w:val="en-US"/>
        </w:rPr>
        <w:t>. 33.</w:t>
      </w:r>
      <w:proofErr w:type="gramEnd"/>
      <w:r w:rsidRPr="00C44A1E">
        <w:rPr>
          <w:rFonts w:ascii="Times New Roman" w:hAnsi="Times New Roman" w:cs="Times New Roman"/>
          <w:sz w:val="24"/>
          <w:szCs w:val="24"/>
          <w:lang w:val="en-US"/>
        </w:rPr>
        <w:t xml:space="preserve"> - N. 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2" w:name="P1521"/>
      <w:bookmarkEnd w:id="82"/>
      <w:proofErr w:type="gramStart"/>
      <w:r w:rsidRPr="00C44A1E">
        <w:rPr>
          <w:rFonts w:ascii="Times New Roman" w:hAnsi="Times New Roman" w:cs="Times New Roman"/>
          <w:sz w:val="24"/>
          <w:szCs w:val="24"/>
          <w:lang w:val="en-US"/>
        </w:rPr>
        <w:t>101. Xia Z. Qiao K., He J.</w:t>
      </w:r>
      <w:proofErr w:type="gramEnd"/>
      <w:r w:rsidRPr="00C44A1E">
        <w:rPr>
          <w:rFonts w:ascii="Times New Roman" w:hAnsi="Times New Roman" w:cs="Times New Roman"/>
          <w:sz w:val="24"/>
          <w:szCs w:val="24"/>
          <w:lang w:val="en-US"/>
        </w:rPr>
        <w:t xml:space="preserve"> Recent advances in the management of pulmonary tuberculoma with focus on the use of tubeless video-assisted thoracoscopic surgery//Journal of thoracic disease. - 2017. </w:t>
      </w:r>
      <w:proofErr w:type="gramStart"/>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w:t>
      </w:r>
      <w:r w:rsidRPr="00C44A1E">
        <w:rPr>
          <w:rFonts w:ascii="Times New Roman" w:hAnsi="Times New Roman" w:cs="Times New Roman"/>
          <w:sz w:val="24"/>
          <w:szCs w:val="24"/>
          <w:lang w:val="en-US"/>
        </w:rPr>
        <w:t>. 9.</w:t>
      </w:r>
      <w:proofErr w:type="gramEnd"/>
      <w:r w:rsidRPr="00C44A1E">
        <w:rPr>
          <w:rFonts w:ascii="Times New Roman" w:hAnsi="Times New Roman" w:cs="Times New Roman"/>
          <w:sz w:val="24"/>
          <w:szCs w:val="24"/>
          <w:lang w:val="en-US"/>
        </w:rPr>
        <w:t xml:space="preserve"> - N. 9. </w:t>
      </w:r>
      <w:proofErr w:type="gramStart"/>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3307.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3" w:name="P1522"/>
      <w:bookmarkEnd w:id="83"/>
      <w:r w:rsidRPr="00C44A1E">
        <w:rPr>
          <w:rFonts w:ascii="Times New Roman" w:hAnsi="Times New Roman" w:cs="Times New Roman"/>
          <w:sz w:val="24"/>
          <w:szCs w:val="24"/>
          <w:lang w:val="en-US"/>
        </w:rPr>
        <w:t>102. Diel R.; Loddenkemper R. and Nienhaus A. Evidence-Based Comparison of Commercial Interferon-g Release Assays for Detecting Active TB/Metaanalysis/CHEST/137/4/APRIL, 2010.</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103. Sester M., Sotqiu G., </w:t>
      </w:r>
      <w:proofErr w:type="gramStart"/>
      <w:r w:rsidRPr="00C44A1E">
        <w:rPr>
          <w:rFonts w:ascii="Times New Roman" w:hAnsi="Times New Roman" w:cs="Times New Roman"/>
          <w:sz w:val="24"/>
          <w:szCs w:val="24"/>
          <w:lang w:val="en-US"/>
        </w:rPr>
        <w:t>lange</w:t>
      </w:r>
      <w:proofErr w:type="gramEnd"/>
      <w:r w:rsidRPr="00C44A1E">
        <w:rPr>
          <w:rFonts w:ascii="Times New Roman" w:hAnsi="Times New Roman" w:cs="Times New Roman"/>
          <w:sz w:val="24"/>
          <w:szCs w:val="24"/>
          <w:lang w:val="en-US"/>
        </w:rPr>
        <w:t xml:space="preserve"> C., et al. </w:t>
      </w:r>
      <w:r w:rsidRPr="00C44A1E">
        <w:rPr>
          <w:rFonts w:ascii="Times New Roman" w:hAnsi="Times New Roman" w:cs="Times New Roman"/>
          <w:noProof/>
          <w:position w:val="-6"/>
          <w:sz w:val="24"/>
          <w:szCs w:val="24"/>
          <w:lang w:eastAsia="ru-RU"/>
        </w:rPr>
        <w:drawing>
          <wp:inline distT="0" distB="0" distL="0" distR="0" wp14:anchorId="1AD3B37B" wp14:editId="46993BE4">
            <wp:extent cx="848995" cy="22034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8995" cy="220345"/>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release assays for the diagnosis of active tuberculosis: a systematic review and meta-analysis. Eur Respir J. 2012 Mar; 39(3): 793.</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104. Mandalakas A.M., Highsmith H.Y., Harris N.M., Pawlicka A., Kirchner H.L. </w:t>
      </w:r>
      <w:r w:rsidRPr="00C44A1E">
        <w:rPr>
          <w:rFonts w:ascii="Times New Roman" w:hAnsi="Times New Roman" w:cs="Times New Roman"/>
          <w:noProof/>
          <w:position w:val="-4"/>
          <w:sz w:val="24"/>
          <w:szCs w:val="24"/>
          <w:lang w:eastAsia="ru-RU"/>
        </w:rPr>
        <w:drawing>
          <wp:inline distT="0" distB="0" distL="0" distR="0" wp14:anchorId="7F9B7B3B" wp14:editId="0AD38BBC">
            <wp:extent cx="1005840" cy="1993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5840"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Performance in Routine Pediatric Practice in a Low TB Burden Setting: The Pediatric Infectious Disease Journal. November 2017:1.</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4" w:name="P1525"/>
      <w:bookmarkEnd w:id="84"/>
      <w:r w:rsidRPr="00C44A1E">
        <w:rPr>
          <w:rFonts w:ascii="Times New Roman" w:hAnsi="Times New Roman" w:cs="Times New Roman"/>
          <w:sz w:val="24"/>
          <w:szCs w:val="24"/>
          <w:lang w:val="en-US"/>
        </w:rPr>
        <w:t>105. Lin Fan, Zhou Chen, Xiao-Hui Hao, Zhong-Yi Hu, He-Ping Xiao, Interferon-gamma release assays for the diagnosis of extrapulmonary tuberculosis: a systematic review and meta-analysis, FEMS Immunology &amp; Medical Microbiology, Volume 65, Issue 3, August 2012, Pages 456 - 466.</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106. Cattamanchi A., Smith R., Steingart K.R., Metcalfe J.Z., Date A., Coleman C., Marston B.J., Huang L., Hopewell P.C., Pai M. Interferon-Gamma Release Assays for the Diagnosis of Latent Tuberculosis Infection in HIV-Infected Individuals: A Systematic Review and Meta-Analysis.//J Acquir Immune Defic Syndr _ Vol. 56, N 3, March 1, 2011, P. 230 - 238.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107. Santin M., </w:t>
      </w:r>
      <w:r w:rsidRPr="00C44A1E">
        <w:rPr>
          <w:rFonts w:ascii="Times New Roman" w:hAnsi="Times New Roman" w:cs="Times New Roman"/>
          <w:noProof/>
          <w:position w:val="-4"/>
          <w:sz w:val="24"/>
          <w:szCs w:val="24"/>
          <w:lang w:eastAsia="ru-RU"/>
        </w:rPr>
        <w:drawing>
          <wp:inline distT="0" distB="0" distL="0" distR="0" wp14:anchorId="70A4642A" wp14:editId="6DA39A4A">
            <wp:extent cx="586740" cy="19939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740" cy="199390"/>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L., Rigau D. (2012). Interferon-c Release Assays for the Diagnosis of Tuberculosis and Tuberculosis Infection in HIV-Infected Adults: A Systematic Review and Meta-Analysis. PLoS ONE 7(3): e 32482. doi:10.1371/journal.pone.0032482.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5" w:name="P1528"/>
      <w:bookmarkEnd w:id="85"/>
      <w:r w:rsidRPr="00C44A1E">
        <w:rPr>
          <w:rFonts w:ascii="Times New Roman" w:hAnsi="Times New Roman" w:cs="Times New Roman"/>
          <w:sz w:val="24"/>
          <w:szCs w:val="24"/>
          <w:lang w:val="en-US"/>
        </w:rPr>
        <w:lastRenderedPageBreak/>
        <w:t xml:space="preserve">108. Turkova </w:t>
      </w:r>
      <w:proofErr w:type="gramStart"/>
      <w:r w:rsidRPr="00C44A1E">
        <w:rPr>
          <w:rFonts w:ascii="Times New Roman" w:hAnsi="Times New Roman" w:cs="Times New Roman"/>
          <w:sz w:val="24"/>
          <w:szCs w:val="24"/>
          <w:lang w:val="en-US"/>
        </w:rPr>
        <w:t>A,</w:t>
      </w:r>
      <w:proofErr w:type="gramEnd"/>
      <w:r w:rsidRPr="00C44A1E">
        <w:rPr>
          <w:rFonts w:ascii="Times New Roman" w:hAnsi="Times New Roman" w:cs="Times New Roman"/>
          <w:sz w:val="24"/>
          <w:szCs w:val="24"/>
          <w:lang w:val="en-US"/>
        </w:rPr>
        <w:t xml:space="preserve"> Wills GA, Wobudeya E, et al. Shorter treatment for nonsevere tuberculosis in African and Indian children. </w:t>
      </w:r>
      <w:proofErr w:type="gramStart"/>
      <w:r w:rsidRPr="00C44A1E">
        <w:rPr>
          <w:rFonts w:ascii="Times New Roman" w:hAnsi="Times New Roman" w:cs="Times New Roman"/>
          <w:sz w:val="24"/>
          <w:szCs w:val="24"/>
          <w:lang w:val="en-US"/>
        </w:rPr>
        <w:t>N Engl J Med. 2022; 386(7).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 xml:space="preserve">109. Graham SM, Grzemska M, Gie RP. </w:t>
      </w:r>
      <w:proofErr w:type="gramStart"/>
      <w:r w:rsidRPr="00C44A1E">
        <w:rPr>
          <w:rFonts w:ascii="Times New Roman" w:hAnsi="Times New Roman" w:cs="Times New Roman"/>
          <w:sz w:val="24"/>
          <w:szCs w:val="24"/>
          <w:lang w:val="en-US"/>
        </w:rPr>
        <w:t>The background and rationale for a new fixed-dose combination for first-line treatment of tuberculosis in children.</w:t>
      </w:r>
      <w:proofErr w:type="gramEnd"/>
      <w:r w:rsidRPr="00C44A1E">
        <w:rPr>
          <w:rFonts w:ascii="Times New Roman" w:hAnsi="Times New Roman" w:cs="Times New Roman"/>
          <w:sz w:val="24"/>
          <w:szCs w:val="24"/>
          <w:lang w:val="en-US"/>
        </w:rPr>
        <w:t xml:space="preserve"> Int J Tuberc Lung Dis. 2015; 19(Supp11): 3 - 8. 89.</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110. Donald PR, Maher D, Maritz JS, Qazi S. Ethambutol dosage for the treatment of children: literature review and recommendations. Int J Tuberc Lung Dis. 2006; 10(12): 1318 - 1330.</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lang w:val="en-US"/>
        </w:rPr>
        <w:t xml:space="preserve">111. Harausz EP, Garcia-Prats AJ, Law S, et al. Treatment and outcomes in children with multidrugresistant tuberculosis: a systematic review and individual patient data meta-analysis. </w:t>
      </w:r>
      <w:r w:rsidRPr="00C44A1E">
        <w:rPr>
          <w:rFonts w:ascii="Times New Roman" w:hAnsi="Times New Roman" w:cs="Times New Roman"/>
          <w:sz w:val="24"/>
          <w:szCs w:val="24"/>
        </w:rPr>
        <w:t>PLoS Med. 2018; 15(7): e1002591.</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6" w:name="P1532"/>
      <w:bookmarkEnd w:id="86"/>
      <w:r w:rsidRPr="00C44A1E">
        <w:rPr>
          <w:rFonts w:ascii="Times New Roman" w:hAnsi="Times New Roman" w:cs="Times New Roman"/>
          <w:sz w:val="24"/>
          <w:szCs w:val="24"/>
        </w:rPr>
        <w:t>112. Всемирная организация здравоохранения. Руководство по ведению пациентов с латентной туберкулезной инфекцией. Женева</w:t>
      </w:r>
      <w:r w:rsidRPr="00C44A1E">
        <w:rPr>
          <w:rFonts w:ascii="Times New Roman" w:hAnsi="Times New Roman" w:cs="Times New Roman"/>
          <w:sz w:val="24"/>
          <w:szCs w:val="24"/>
          <w:lang w:val="en-US"/>
        </w:rPr>
        <w:t>; 2015.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87" w:name="P1533"/>
      <w:bookmarkEnd w:id="87"/>
      <w:r w:rsidRPr="00C44A1E">
        <w:rPr>
          <w:rFonts w:ascii="Times New Roman" w:hAnsi="Times New Roman" w:cs="Times New Roman"/>
          <w:sz w:val="24"/>
          <w:szCs w:val="24"/>
          <w:lang w:val="en-US"/>
        </w:rPr>
        <w:t>113. Nuermberger E., Bishai W.R., Grosset J.H. Latent tuberculosis infection.//Seminars in Resp. and Critic.; Care Med.; 2004; Vol. 25, N 3; P. 317 - 336.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88" w:name="P1534"/>
      <w:bookmarkEnd w:id="88"/>
      <w:r w:rsidRPr="00C44A1E">
        <w:rPr>
          <w:rFonts w:ascii="Times New Roman" w:hAnsi="Times New Roman" w:cs="Times New Roman"/>
          <w:sz w:val="24"/>
          <w:szCs w:val="24"/>
        </w:rPr>
        <w:t>114. Аксенова В.А. Туберкулез у детей и подростков. Учебное пособие. М: ГЭОТАР-Медиа; 2007; с. 37 - 43.</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89" w:name="P1535"/>
      <w:bookmarkEnd w:id="89"/>
      <w:r w:rsidRPr="00C44A1E">
        <w:rPr>
          <w:rFonts w:ascii="Times New Roman" w:hAnsi="Times New Roman" w:cs="Times New Roman"/>
          <w:sz w:val="24"/>
          <w:szCs w:val="24"/>
        </w:rPr>
        <w:t>115. Аксенова В.А., Барышникова Л.А. Эффективность аллергена туберкулезного рекомбинантного при раннем выявлении туберкулезной инфекции у детей и подростков в условиях общей лечебной сети. Вопросы современной педиатрии; 2015; том 14; N 3: с. 358 - 362.</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0" w:name="P1536"/>
      <w:bookmarkEnd w:id="90"/>
      <w:r w:rsidRPr="00C44A1E">
        <w:rPr>
          <w:rFonts w:ascii="Times New Roman" w:hAnsi="Times New Roman" w:cs="Times New Roman"/>
          <w:sz w:val="24"/>
          <w:szCs w:val="24"/>
        </w:rPr>
        <w:t>116. Александрова Е.Н., Морозова Т.И., Паролина Л.Е., Докторова Н.П. Интерпретация комплексной когортной оценки результатов туберкулинодиагностики. Проблемы туберкулеза и болезней легких. 2008; N 7: с. 23 - 26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1" w:name="P1537"/>
      <w:bookmarkEnd w:id="91"/>
      <w:r w:rsidRPr="00C44A1E">
        <w:rPr>
          <w:rFonts w:ascii="Times New Roman" w:hAnsi="Times New Roman" w:cs="Times New Roman"/>
          <w:sz w:val="24"/>
          <w:szCs w:val="24"/>
        </w:rPr>
        <w:t>117. Белова Е.В., Стаханов В.А. Диагностика туберкулезной инфекции у подростков на основе рекомбинантных белков Mycobacterium tuberculosis в учреждениях первичной медико-санитарной помощи. Туберкулез и болезни легких. 2015; N 5: с. 42.</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92" w:name="P1538"/>
      <w:bookmarkEnd w:id="92"/>
      <w:r w:rsidRPr="00C44A1E">
        <w:rPr>
          <w:rFonts w:ascii="Times New Roman" w:hAnsi="Times New Roman" w:cs="Times New Roman"/>
          <w:sz w:val="24"/>
          <w:szCs w:val="24"/>
        </w:rPr>
        <w:t>118. Лебедева Л.В., Грачева С.Г. Чувствительность к туберкулину и инфицированность микобактериями туберкулеза детей. Проблемы</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туберкулеза</w:t>
      </w:r>
      <w:r w:rsidRPr="00C44A1E">
        <w:rPr>
          <w:rFonts w:ascii="Times New Roman" w:hAnsi="Times New Roman" w:cs="Times New Roman"/>
          <w:sz w:val="24"/>
          <w:szCs w:val="24"/>
          <w:lang w:val="en-US"/>
        </w:rPr>
        <w:t xml:space="preserve">. 2007; N 1: </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5 - 9.</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93" w:name="P1539"/>
      <w:bookmarkEnd w:id="93"/>
      <w:r w:rsidRPr="00C44A1E">
        <w:rPr>
          <w:rFonts w:ascii="Times New Roman" w:hAnsi="Times New Roman" w:cs="Times New Roman"/>
          <w:sz w:val="24"/>
          <w:szCs w:val="24"/>
          <w:lang w:val="en-US"/>
        </w:rPr>
        <w:t xml:space="preserve">119. Lee C.H., Lee E.G., Lee J.Y. </w:t>
      </w:r>
      <w:proofErr w:type="gramStart"/>
      <w:r w:rsidRPr="00C44A1E">
        <w:rPr>
          <w:rFonts w:ascii="Times New Roman" w:hAnsi="Times New Roman" w:cs="Times New Roman"/>
          <w:sz w:val="24"/>
          <w:szCs w:val="24"/>
          <w:lang w:val="en-US"/>
        </w:rPr>
        <w:t>The incidence of tuberculosis after a measles outbreak.</w:t>
      </w:r>
      <w:proofErr w:type="gramEnd"/>
      <w:r w:rsidRPr="00C44A1E">
        <w:rPr>
          <w:rFonts w:ascii="Times New Roman" w:hAnsi="Times New Roman" w:cs="Times New Roman"/>
          <w:sz w:val="24"/>
          <w:szCs w:val="24"/>
          <w:lang w:val="en-US"/>
        </w:rPr>
        <w:t xml:space="preserve"> </w:t>
      </w:r>
      <w:proofErr w:type="gramStart"/>
      <w:r w:rsidRPr="00C44A1E">
        <w:rPr>
          <w:rFonts w:ascii="Times New Roman" w:hAnsi="Times New Roman" w:cs="Times New Roman"/>
          <w:sz w:val="24"/>
          <w:szCs w:val="24"/>
          <w:lang w:val="en-US"/>
        </w:rPr>
        <w:t>Clin.</w:t>
      </w:r>
      <w:proofErr w:type="gramEnd"/>
      <w:r w:rsidRPr="00C44A1E">
        <w:rPr>
          <w:rFonts w:ascii="Times New Roman" w:hAnsi="Times New Roman" w:cs="Times New Roman"/>
          <w:sz w:val="24"/>
          <w:szCs w:val="24"/>
          <w:lang w:val="en-US"/>
        </w:rPr>
        <w:t xml:space="preserve"> Infect. Dis., 2008, Vol. 46, pp. 902 - 904.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94" w:name="P1540"/>
      <w:bookmarkEnd w:id="94"/>
      <w:r w:rsidRPr="00C44A1E">
        <w:rPr>
          <w:rFonts w:ascii="Times New Roman" w:hAnsi="Times New Roman" w:cs="Times New Roman"/>
          <w:sz w:val="24"/>
          <w:szCs w:val="24"/>
          <w:lang w:val="en-US"/>
        </w:rPr>
        <w:t xml:space="preserve">120. Al-Saadi A.K., Muhsin Mohammad A.S. Effect of measles infection on cellular immunity in tuberculosispatients. </w:t>
      </w:r>
      <w:proofErr w:type="gramStart"/>
      <w:r w:rsidRPr="00C44A1E">
        <w:rPr>
          <w:rFonts w:ascii="Times New Roman" w:hAnsi="Times New Roman" w:cs="Times New Roman"/>
          <w:sz w:val="24"/>
          <w:szCs w:val="24"/>
          <w:lang w:val="en-US"/>
        </w:rPr>
        <w:t xml:space="preserve">J. of Clinical Immunology and Immunopathology Research, 2011, Vol. 3, no. 2, </w:t>
      </w:r>
      <w:r w:rsidRPr="00C44A1E">
        <w:rPr>
          <w:rFonts w:ascii="Times New Roman" w:hAnsi="Times New Roman" w:cs="Times New Roman"/>
          <w:sz w:val="24"/>
          <w:szCs w:val="24"/>
        </w:rPr>
        <w:t>рр</w:t>
      </w:r>
      <w:r w:rsidRPr="00C44A1E">
        <w:rPr>
          <w:rFonts w:ascii="Times New Roman" w:hAnsi="Times New Roman" w:cs="Times New Roman"/>
          <w:sz w:val="24"/>
          <w:szCs w:val="24"/>
          <w:lang w:val="en-US"/>
        </w:rPr>
        <w:t>.</w:t>
      </w:r>
      <w:proofErr w:type="gramEnd"/>
      <w:r w:rsidRPr="00C44A1E">
        <w:rPr>
          <w:rFonts w:ascii="Times New Roman" w:hAnsi="Times New Roman" w:cs="Times New Roman"/>
          <w:sz w:val="24"/>
          <w:szCs w:val="24"/>
          <w:lang w:val="en-US"/>
        </w:rPr>
        <w:t xml:space="preserve"> 22 - 24.</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5" w:name="P1541"/>
      <w:bookmarkEnd w:id="95"/>
      <w:r w:rsidRPr="00C44A1E">
        <w:rPr>
          <w:rFonts w:ascii="Times New Roman" w:hAnsi="Times New Roman" w:cs="Times New Roman"/>
          <w:sz w:val="24"/>
          <w:szCs w:val="24"/>
        </w:rPr>
        <w:t>121. Костинов М.П. Вакцинация детей с нарушениями состояния здоровья. 4-е изд. М.: М-пресс, 2013. 432 с.</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6" w:name="P1542"/>
      <w:bookmarkEnd w:id="96"/>
      <w:r w:rsidRPr="00C44A1E">
        <w:rPr>
          <w:rFonts w:ascii="Times New Roman" w:hAnsi="Times New Roman" w:cs="Times New Roman"/>
          <w:sz w:val="24"/>
          <w:szCs w:val="24"/>
        </w:rPr>
        <w:t>122. Довгалюк И.Ф., Дрозденко Т.С., Старшинова А.А., Корнева Н.В., Харит С.М. Эффективность пневмококковой вакцины у детей с различными проявлениями туберкулезной инфекции.//Медицинская иммунология, 2017. Т. 19, N 1. С. 73 - 80.</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7" w:name="P1543"/>
      <w:bookmarkEnd w:id="97"/>
      <w:r w:rsidRPr="00C44A1E">
        <w:rPr>
          <w:rFonts w:ascii="Times New Roman" w:hAnsi="Times New Roman" w:cs="Times New Roman"/>
          <w:sz w:val="24"/>
          <w:szCs w:val="24"/>
        </w:rPr>
        <w:lastRenderedPageBreak/>
        <w:t>123. Шилова Е.П., Егошина И.Ю., Поддубная Л.В., Павленок И.В. Кожные тесты в диагностике поствакцинальной и инфекционной аллергии. Туберкулез и болезни легких. 2018. N 2: с. 27 - 31.</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8" w:name="P1544"/>
      <w:bookmarkEnd w:id="98"/>
      <w:r w:rsidRPr="00C44A1E">
        <w:rPr>
          <w:rFonts w:ascii="Times New Roman" w:hAnsi="Times New Roman" w:cs="Times New Roman"/>
          <w:sz w:val="24"/>
          <w:szCs w:val="24"/>
        </w:rPr>
        <w:t>124. Слогоцкая Л.В., Богородская Е.М., Шамуратова Л.Ф., Севостьянова Т.А. Эффективность скрининга туберкулезной инфекции у детей и подростков в г. Москве в 2019 г. на основе нового алгоритма применения внутрикожной пробы с аллергеном туберкулезным рекомбинантным (ESAT-6/CFP-10). Туберкулез и болезни легких. 2021. N 1: с. 15 - 25.</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99" w:name="P1545"/>
      <w:bookmarkEnd w:id="99"/>
      <w:r w:rsidRPr="00C44A1E">
        <w:rPr>
          <w:rFonts w:ascii="Times New Roman" w:hAnsi="Times New Roman" w:cs="Times New Roman"/>
          <w:sz w:val="24"/>
          <w:szCs w:val="24"/>
        </w:rPr>
        <w:t>125. Слогоцкая Л.В., Богородская Е.М. Сравнительная характеристика иммунологических тестов для выявления туберкулезной инфекции. Возможность массового скрининга. Туберкулез и болезни легких. 2016; N 5: с. 5 - 16.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00" w:name="P1546"/>
      <w:bookmarkEnd w:id="100"/>
      <w:r w:rsidRPr="00C44A1E">
        <w:rPr>
          <w:rFonts w:ascii="Times New Roman" w:hAnsi="Times New Roman" w:cs="Times New Roman"/>
          <w:sz w:val="24"/>
          <w:szCs w:val="24"/>
        </w:rPr>
        <w:t>126. Насонов Е.Л., Козлов Р.С., Якушин С.Б. Инфекционные осложнения терапии блокаторами фактора некроза опухоли: предупрежден - значит вооружен. Клиническая микробиология и антимикробная терапия. 2006; Т. 8; N 4, с. 314 - 324.</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r w:rsidRPr="00C44A1E">
        <w:rPr>
          <w:rFonts w:ascii="Times New Roman" w:hAnsi="Times New Roman" w:cs="Times New Roman"/>
          <w:sz w:val="24"/>
          <w:szCs w:val="24"/>
        </w:rPr>
        <w:t xml:space="preserve">127. Слогоцкая Л.В., Кочетков А.Я., Сенчихина О.Ю. Эффективность нового кожного теста (Диаскинтест) при выявлении инфицированных и заболевших подростков </w:t>
      </w:r>
      <w:proofErr w:type="gramStart"/>
      <w:r w:rsidRPr="00C44A1E">
        <w:rPr>
          <w:rFonts w:ascii="Times New Roman" w:hAnsi="Times New Roman" w:cs="Times New Roman"/>
          <w:sz w:val="24"/>
          <w:szCs w:val="24"/>
        </w:rPr>
        <w:t>среди</w:t>
      </w:r>
      <w:proofErr w:type="gramEnd"/>
      <w:r w:rsidRPr="00C44A1E">
        <w:rPr>
          <w:rFonts w:ascii="Times New Roman" w:hAnsi="Times New Roman" w:cs="Times New Roman"/>
          <w:sz w:val="24"/>
          <w:szCs w:val="24"/>
        </w:rPr>
        <w:t xml:space="preserve"> контактировавших с больными туберкулезом. Вопросы</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современной</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педиатрии</w:t>
      </w:r>
      <w:r w:rsidRPr="00C44A1E">
        <w:rPr>
          <w:rFonts w:ascii="Times New Roman" w:hAnsi="Times New Roman" w:cs="Times New Roman"/>
          <w:sz w:val="24"/>
          <w:szCs w:val="24"/>
          <w:lang w:val="en-US"/>
        </w:rPr>
        <w:t xml:space="preserve">. 2011; </w:t>
      </w:r>
      <w:r w:rsidRPr="00C44A1E">
        <w:rPr>
          <w:rFonts w:ascii="Times New Roman" w:hAnsi="Times New Roman" w:cs="Times New Roman"/>
          <w:sz w:val="24"/>
          <w:szCs w:val="24"/>
        </w:rPr>
        <w:t>том</w:t>
      </w:r>
      <w:r w:rsidRPr="00C44A1E">
        <w:rPr>
          <w:rFonts w:ascii="Times New Roman" w:hAnsi="Times New Roman" w:cs="Times New Roman"/>
          <w:sz w:val="24"/>
          <w:szCs w:val="24"/>
          <w:lang w:val="en-US"/>
        </w:rPr>
        <w:t xml:space="preserve"> 10; N 3: </w:t>
      </w:r>
      <w:r w:rsidRPr="00C44A1E">
        <w:rPr>
          <w:rFonts w:ascii="Times New Roman" w:hAnsi="Times New Roman" w:cs="Times New Roman"/>
          <w:sz w:val="24"/>
          <w:szCs w:val="24"/>
        </w:rPr>
        <w:t>с</w:t>
      </w:r>
      <w:r w:rsidRPr="00C44A1E">
        <w:rPr>
          <w:rFonts w:ascii="Times New Roman" w:hAnsi="Times New Roman" w:cs="Times New Roman"/>
          <w:sz w:val="24"/>
          <w:szCs w:val="24"/>
          <w:lang w:val="en-US"/>
        </w:rPr>
        <w:t>. 70 - 75.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01" w:name="P1548"/>
      <w:bookmarkEnd w:id="101"/>
      <w:r w:rsidRPr="00C44A1E">
        <w:rPr>
          <w:rFonts w:ascii="Times New Roman" w:hAnsi="Times New Roman" w:cs="Times New Roman"/>
          <w:sz w:val="24"/>
          <w:szCs w:val="24"/>
          <w:lang w:val="en-US"/>
        </w:rPr>
        <w:t xml:space="preserve">128. Gupta D.K., Kumar R., Nath N., Kothari A.K. Chemoprophylaxis in high risk children-analysis of 8 years' follow up: Preliminary report. </w:t>
      </w:r>
      <w:proofErr w:type="gramStart"/>
      <w:r w:rsidRPr="00C44A1E">
        <w:rPr>
          <w:rFonts w:ascii="Times New Roman" w:hAnsi="Times New Roman" w:cs="Times New Roman"/>
          <w:sz w:val="24"/>
          <w:szCs w:val="24"/>
          <w:lang w:val="en-US"/>
        </w:rPr>
        <w:t>J Tuberc.</w:t>
      </w:r>
      <w:proofErr w:type="gramEnd"/>
      <w:r w:rsidRPr="00C44A1E">
        <w:rPr>
          <w:rFonts w:ascii="Times New Roman" w:hAnsi="Times New Roman" w:cs="Times New Roman"/>
          <w:sz w:val="24"/>
          <w:szCs w:val="24"/>
          <w:lang w:val="en-US"/>
        </w:rPr>
        <w:t xml:space="preserve"> </w:t>
      </w:r>
      <w:proofErr w:type="gramStart"/>
      <w:r w:rsidRPr="00C44A1E">
        <w:rPr>
          <w:rFonts w:ascii="Times New Roman" w:hAnsi="Times New Roman" w:cs="Times New Roman"/>
          <w:sz w:val="24"/>
          <w:szCs w:val="24"/>
          <w:lang w:val="en-US"/>
        </w:rPr>
        <w:t>1993; 125 - 7.</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02" w:name="P1549"/>
      <w:bookmarkEnd w:id="102"/>
      <w:r w:rsidRPr="00C44A1E">
        <w:rPr>
          <w:rFonts w:ascii="Times New Roman" w:hAnsi="Times New Roman" w:cs="Times New Roman"/>
          <w:sz w:val="24"/>
          <w:szCs w:val="24"/>
          <w:lang w:val="en-US"/>
        </w:rPr>
        <w:t xml:space="preserve">129. Zenner D., Beer N., Harris R.J., Lipman M.C., Stagg H.R., van der Werf M.J. Treatment of Latent Tuberculosis Infection: An Updated Network Meta-analysis//Ann Intern Med. 2017 Aug 15; 167(4): 248 - 255.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10.7326/M17-0609</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03" w:name="P1550"/>
      <w:bookmarkEnd w:id="103"/>
      <w:r w:rsidRPr="00C44A1E">
        <w:rPr>
          <w:rFonts w:ascii="Times New Roman" w:hAnsi="Times New Roman" w:cs="Times New Roman"/>
          <w:sz w:val="24"/>
          <w:szCs w:val="24"/>
          <w:lang w:val="en-US"/>
        </w:rPr>
        <w:t xml:space="preserve">130. WHO consolidated guidelines on </w:t>
      </w:r>
      <w:proofErr w:type="gramStart"/>
      <w:r w:rsidRPr="00C44A1E">
        <w:rPr>
          <w:rFonts w:ascii="Times New Roman" w:hAnsi="Times New Roman" w:cs="Times New Roman"/>
          <w:sz w:val="24"/>
          <w:szCs w:val="24"/>
          <w:lang w:val="en-US"/>
        </w:rPr>
        <w:t>tuberculosis.</w:t>
      </w:r>
      <w:proofErr w:type="gramEnd"/>
      <w:r w:rsidRPr="00C44A1E">
        <w:rPr>
          <w:rFonts w:ascii="Times New Roman" w:hAnsi="Times New Roman" w:cs="Times New Roman"/>
          <w:sz w:val="24"/>
          <w:szCs w:val="24"/>
          <w:lang w:val="en-US"/>
        </w:rPr>
        <w:t xml:space="preserve"> Module 1: prevention - tuberculosis preventive treatment. Geneva: World Health Organization; 2020, https://apps.who.int/iris/rest/bitstreams/1270183/retrieve</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04" w:name="P1551"/>
      <w:bookmarkEnd w:id="104"/>
      <w:r w:rsidRPr="00C44A1E">
        <w:rPr>
          <w:rFonts w:ascii="Times New Roman" w:hAnsi="Times New Roman" w:cs="Times New Roman"/>
          <w:sz w:val="24"/>
          <w:szCs w:val="24"/>
          <w:lang w:val="en-US"/>
        </w:rPr>
        <w:t xml:space="preserve">131. Schwoebel V, Koura KG, Adjobimey M, Gnanou S, Wandji AG, Gody JC, Delacourt C, Detjen A, Graham SM, Masserey E, Mselatti P, Roggi A, </w:t>
      </w:r>
      <w:r w:rsidRPr="00C44A1E">
        <w:rPr>
          <w:rFonts w:ascii="Times New Roman" w:hAnsi="Times New Roman" w:cs="Times New Roman"/>
          <w:noProof/>
          <w:position w:val="-6"/>
          <w:sz w:val="24"/>
          <w:szCs w:val="24"/>
          <w:lang w:eastAsia="ru-RU"/>
        </w:rPr>
        <w:drawing>
          <wp:inline distT="0" distB="0" distL="0" distR="0" wp14:anchorId="3862EC9D" wp14:editId="461C13E2">
            <wp:extent cx="618490" cy="22034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490" cy="220345"/>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A. Tuberculosis contact investigation and short-course preventive therapy among young children in Africa. Int J Tuberc Lung Dis. 2020 Apr 1; 24(4): 452 - 460.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10.5588/ijtld.19.0712. PMID: 32317071.</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05" w:name="P1552"/>
      <w:bookmarkEnd w:id="105"/>
      <w:r w:rsidRPr="00C44A1E">
        <w:rPr>
          <w:rFonts w:ascii="Times New Roman" w:hAnsi="Times New Roman" w:cs="Times New Roman"/>
          <w:sz w:val="24"/>
          <w:szCs w:val="24"/>
          <w:lang w:val="en-US"/>
        </w:rPr>
        <w:t xml:space="preserve">132. Marks SM, Mase SR, Morris SB. Systematic Review, Meta-analysis, and Cost-effectiveness of Treatment of Latent Tuberculosis to Reduce Progression to Multidrug-Resistant Tuberculosis. Clin Infect Dis. 2017 Jun 15; 64(12): 1670 - 1677.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xml:space="preserve">: 10.1093/cid/cix208. Erratum in: Clin Infect Dis. 2017 Oct 15; 65(8): 1433 - 1434. </w:t>
      </w:r>
      <w:r w:rsidRPr="00C44A1E">
        <w:rPr>
          <w:rFonts w:ascii="Times New Roman" w:hAnsi="Times New Roman" w:cs="Times New Roman"/>
          <w:sz w:val="24"/>
          <w:szCs w:val="24"/>
        </w:rPr>
        <w:t>PMID: 28329197; PMCID: PMC5543758.</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06" w:name="P1553"/>
      <w:bookmarkEnd w:id="106"/>
      <w:r w:rsidRPr="00C44A1E">
        <w:rPr>
          <w:rFonts w:ascii="Times New Roman" w:hAnsi="Times New Roman" w:cs="Times New Roman"/>
          <w:sz w:val="24"/>
          <w:szCs w:val="24"/>
        </w:rPr>
        <w:t>133. Аксенова В.А., Клевно Н.И., Казаков А.В., Гордина А.В., Фатыхова Р.Х. Превентивная химиотерапия у детей из очагов туберкулеза с множественной лекарственной устойчивостью возбудителя. Туберкулез и болезни легких. 2019; 97(6): 36 - 43. https://doi.org/10.21292/2075-1230-2019-97-6-36-43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134. Cruz AT, Garcia-Prats AJ, Furin J, Seddon JA. </w:t>
      </w:r>
      <w:proofErr w:type="gramStart"/>
      <w:r w:rsidRPr="00C44A1E">
        <w:rPr>
          <w:rFonts w:ascii="Times New Roman" w:hAnsi="Times New Roman" w:cs="Times New Roman"/>
          <w:sz w:val="24"/>
          <w:szCs w:val="24"/>
          <w:lang w:val="en-US"/>
        </w:rPr>
        <w:t>Treatment of Multidrug-resistant Tuberculosis Infection in Children.</w:t>
      </w:r>
      <w:proofErr w:type="gramEnd"/>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Pediatr Infect Dis J. 2018 Aug; 37(8): 831 - 834. doi: 10.1097/INF.0000000000002087. PMID: 29742640.</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07" w:name="P1555"/>
      <w:bookmarkEnd w:id="107"/>
      <w:r w:rsidRPr="00C44A1E">
        <w:rPr>
          <w:rFonts w:ascii="Times New Roman" w:hAnsi="Times New Roman" w:cs="Times New Roman"/>
          <w:sz w:val="24"/>
          <w:szCs w:val="24"/>
        </w:rPr>
        <w:lastRenderedPageBreak/>
        <w:t>135. Туберкулез органов дыхания: руководство для врачей/[Абдуллаев Р.Р., Авербах М.М., Андреевская С.Н. и др.]; под редакцией профессора А.Э. Эргешова; Федеральное государственное бюджетное научное учреждение "Центральный научно-исследовательский институт туберкулеза". - Москва: Галлея-Принт, 2017. - 521 с</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08" w:name="P1556"/>
      <w:bookmarkEnd w:id="108"/>
      <w:r w:rsidRPr="00C44A1E">
        <w:rPr>
          <w:rFonts w:ascii="Times New Roman" w:hAnsi="Times New Roman" w:cs="Times New Roman"/>
          <w:sz w:val="24"/>
          <w:szCs w:val="24"/>
        </w:rPr>
        <w:t xml:space="preserve">136. </w:t>
      </w:r>
      <w:proofErr w:type="gramStart"/>
      <w:r w:rsidRPr="00C44A1E">
        <w:rPr>
          <w:rFonts w:ascii="Times New Roman" w:hAnsi="Times New Roman" w:cs="Times New Roman"/>
          <w:sz w:val="24"/>
          <w:szCs w:val="24"/>
        </w:rPr>
        <w:t>Мишин</w:t>
      </w:r>
      <w:proofErr w:type="gramEnd"/>
      <w:r w:rsidRPr="00C44A1E">
        <w:rPr>
          <w:rFonts w:ascii="Times New Roman" w:hAnsi="Times New Roman" w:cs="Times New Roman"/>
          <w:sz w:val="24"/>
          <w:szCs w:val="24"/>
        </w:rPr>
        <w:t xml:space="preserve"> В.Ю., Мякишева Т.В., Мишина А.В., Амараева Л.В., Лузина Н.В., Осинцева И.Ю., Ломова Л.А., Чурина Е.Г. Роль и значение искусственного пневмоторакса у больных деструктивным туберкулезом легких с лекарственной устойчивостью возбудителя. Пульмонология</w:t>
      </w:r>
      <w:r w:rsidRPr="00C44A1E">
        <w:rPr>
          <w:rFonts w:ascii="Times New Roman" w:hAnsi="Times New Roman" w:cs="Times New Roman"/>
          <w:sz w:val="24"/>
          <w:szCs w:val="24"/>
          <w:lang w:val="en-US"/>
        </w:rPr>
        <w:t>. 2010; (5): 41 - 45. https: //doi.org/10.18093/0869-0189-2010-5-41-45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09" w:name="P1557"/>
      <w:bookmarkEnd w:id="109"/>
      <w:r w:rsidRPr="00C44A1E">
        <w:rPr>
          <w:rFonts w:ascii="Times New Roman" w:hAnsi="Times New Roman" w:cs="Times New Roman"/>
          <w:sz w:val="24"/>
          <w:szCs w:val="24"/>
          <w:lang w:val="en-US"/>
        </w:rPr>
        <w:t xml:space="preserve">137. Nozawa T, Mori M, Nishimura K, Sakurai N, Kikuchi M, Hara R, Yokota S. Usefulness of two </w:t>
      </w:r>
      <w:r w:rsidRPr="00C44A1E">
        <w:rPr>
          <w:rFonts w:ascii="Times New Roman" w:hAnsi="Times New Roman" w:cs="Times New Roman"/>
          <w:noProof/>
          <w:position w:val="-6"/>
          <w:sz w:val="24"/>
          <w:szCs w:val="24"/>
          <w:lang w:eastAsia="ru-RU"/>
        </w:rPr>
        <w:drawing>
          <wp:inline distT="0" distB="0" distL="0" distR="0" wp14:anchorId="3E339E91" wp14:editId="5D56F5DE">
            <wp:extent cx="838200" cy="22034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r w:rsidRPr="00C44A1E">
        <w:rPr>
          <w:rFonts w:ascii="Times New Roman" w:hAnsi="Times New Roman" w:cs="Times New Roman"/>
          <w:sz w:val="24"/>
          <w:szCs w:val="24"/>
          <w:lang w:val="en-US"/>
        </w:rPr>
        <w:t xml:space="preserve"> release assays for rheumatic disease. Pediatr Int. 2016 May; 58(5): 347 - 52.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10.1111/ped.12885. Epub 2016 Mar 17. PMID: 26670306.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0" w:name="P1558"/>
      <w:bookmarkEnd w:id="110"/>
      <w:r w:rsidRPr="00C44A1E">
        <w:rPr>
          <w:rFonts w:ascii="Times New Roman" w:hAnsi="Times New Roman" w:cs="Times New Roman"/>
          <w:sz w:val="24"/>
          <w:szCs w:val="24"/>
          <w:lang w:val="en-US"/>
        </w:rPr>
        <w:t xml:space="preserve">138. </w:t>
      </w:r>
      <w:r w:rsidRPr="00C44A1E">
        <w:rPr>
          <w:rFonts w:ascii="Times New Roman" w:hAnsi="Times New Roman" w:cs="Times New Roman"/>
          <w:sz w:val="24"/>
          <w:szCs w:val="24"/>
        </w:rPr>
        <w:t>Борзакова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Светлана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Николаевна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Аксенова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Валентина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Александровна</w:t>
      </w:r>
      <w:r w:rsidRPr="00C44A1E">
        <w:rPr>
          <w:rFonts w:ascii="Times New Roman" w:hAnsi="Times New Roman" w:cs="Times New Roman"/>
          <w:sz w:val="24"/>
          <w:szCs w:val="24"/>
          <w:lang w:val="en-US"/>
        </w:rPr>
        <w:t xml:space="preserve">, and </w:t>
      </w:r>
      <w:r w:rsidRPr="00C44A1E">
        <w:rPr>
          <w:rFonts w:ascii="Times New Roman" w:hAnsi="Times New Roman" w:cs="Times New Roman"/>
          <w:sz w:val="24"/>
          <w:szCs w:val="24"/>
        </w:rPr>
        <w:t>Рейзис</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Ара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Романовна</w:t>
      </w:r>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"Патогенетические подходы к терапии лекарственных поражений печени при туберкулезе у детей" Российский вестник перинатологии и педиатрии, vol. 58, no. 6, 2013, pp. 74 - 78.</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11" w:name="P1559"/>
      <w:bookmarkEnd w:id="111"/>
      <w:r w:rsidRPr="00C44A1E">
        <w:rPr>
          <w:rFonts w:ascii="Times New Roman" w:hAnsi="Times New Roman" w:cs="Times New Roman"/>
          <w:sz w:val="24"/>
          <w:szCs w:val="24"/>
          <w:lang w:val="en-US"/>
        </w:rPr>
        <w:t xml:space="preserve">139. WHO consolidated guidelines on </w:t>
      </w:r>
      <w:proofErr w:type="gramStart"/>
      <w:r w:rsidRPr="00C44A1E">
        <w:rPr>
          <w:rFonts w:ascii="Times New Roman" w:hAnsi="Times New Roman" w:cs="Times New Roman"/>
          <w:sz w:val="24"/>
          <w:szCs w:val="24"/>
          <w:lang w:val="en-US"/>
        </w:rPr>
        <w:t>tuberculosis.</w:t>
      </w:r>
      <w:proofErr w:type="gramEnd"/>
      <w:r w:rsidRPr="00C44A1E">
        <w:rPr>
          <w:rFonts w:ascii="Times New Roman" w:hAnsi="Times New Roman" w:cs="Times New Roman"/>
          <w:sz w:val="24"/>
          <w:szCs w:val="24"/>
          <w:lang w:val="en-US"/>
        </w:rPr>
        <w:t xml:space="preserve"> Module 4: treatment and care. Geneva: World Health Organization; 2025. Licence: CC BY-NC-SA 3.0 IGO; Nyang'wa BT, Berry C, Kazounis E at al. TB-PRACTECAL Study Collaborators. </w:t>
      </w:r>
      <w:proofErr w:type="gramStart"/>
      <w:r w:rsidRPr="00C44A1E">
        <w:rPr>
          <w:rFonts w:ascii="Times New Roman" w:hAnsi="Times New Roman" w:cs="Times New Roman"/>
          <w:sz w:val="24"/>
          <w:szCs w:val="24"/>
          <w:lang w:val="en-US"/>
        </w:rPr>
        <w:t>A 24-Week, All-Oral Regimen for Rifampin-Resistant Tuberculosis.</w:t>
      </w:r>
      <w:proofErr w:type="gramEnd"/>
      <w:r w:rsidRPr="00C44A1E">
        <w:rPr>
          <w:rFonts w:ascii="Times New Roman" w:hAnsi="Times New Roman" w:cs="Times New Roman"/>
          <w:sz w:val="24"/>
          <w:szCs w:val="24"/>
          <w:lang w:val="en-US"/>
        </w:rPr>
        <w:t xml:space="preserve"> N Engl J Med. 2022 Dec 22; 387(25): 2331 - 2343.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10.1056/NEJMoa2117166. PMID: 36546625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12" w:name="P1560"/>
      <w:bookmarkEnd w:id="112"/>
      <w:r w:rsidRPr="00C44A1E">
        <w:rPr>
          <w:rFonts w:ascii="Times New Roman" w:hAnsi="Times New Roman" w:cs="Times New Roman"/>
          <w:sz w:val="24"/>
          <w:szCs w:val="24"/>
          <w:lang w:val="en-US"/>
        </w:rPr>
        <w:t xml:space="preserve">140. Nyang'wa BT, Berry C, Kazounis E at al. TB-PRACTECAL Study Collaborators. </w:t>
      </w:r>
      <w:proofErr w:type="gramStart"/>
      <w:r w:rsidRPr="00C44A1E">
        <w:rPr>
          <w:rFonts w:ascii="Times New Roman" w:hAnsi="Times New Roman" w:cs="Times New Roman"/>
          <w:sz w:val="24"/>
          <w:szCs w:val="24"/>
          <w:lang w:val="en-US"/>
        </w:rPr>
        <w:t>A 24-Week, All-Oral Regimen for Rifampin-Resistant Tuberculosis.</w:t>
      </w:r>
      <w:proofErr w:type="gramEnd"/>
      <w:r w:rsidRPr="00C44A1E">
        <w:rPr>
          <w:rFonts w:ascii="Times New Roman" w:hAnsi="Times New Roman" w:cs="Times New Roman"/>
          <w:sz w:val="24"/>
          <w:szCs w:val="24"/>
          <w:lang w:val="en-US"/>
        </w:rPr>
        <w:t xml:space="preserve"> N Engl J Med. 2022 Dec 22; 387(25): 2331 - 2343. </w:t>
      </w:r>
      <w:proofErr w:type="gramStart"/>
      <w:r w:rsidRPr="00C44A1E">
        <w:rPr>
          <w:rFonts w:ascii="Times New Roman" w:hAnsi="Times New Roman" w:cs="Times New Roman"/>
          <w:sz w:val="24"/>
          <w:szCs w:val="24"/>
          <w:lang w:val="en-US"/>
        </w:rPr>
        <w:t>doi</w:t>
      </w:r>
      <w:proofErr w:type="gramEnd"/>
      <w:r w:rsidRPr="00C44A1E">
        <w:rPr>
          <w:rFonts w:ascii="Times New Roman" w:hAnsi="Times New Roman" w:cs="Times New Roman"/>
          <w:sz w:val="24"/>
          <w:szCs w:val="24"/>
          <w:lang w:val="en-US"/>
        </w:rPr>
        <w:t>: 10.1056/NEJMoa2117166. PMID: 36546625</w:t>
      </w:r>
    </w:p>
    <w:p w:rsidR="00414991" w:rsidRPr="00C44A1E" w:rsidRDefault="00414991">
      <w:pPr>
        <w:spacing w:before="220" w:after="1" w:line="220" w:lineRule="atLeast"/>
        <w:ind w:firstLine="540"/>
        <w:jc w:val="both"/>
        <w:rPr>
          <w:rFonts w:ascii="Times New Roman" w:hAnsi="Times New Roman" w:cs="Times New Roman"/>
          <w:sz w:val="24"/>
          <w:szCs w:val="24"/>
          <w:lang w:val="en-US"/>
        </w:rPr>
      </w:pPr>
      <w:bookmarkStart w:id="113" w:name="P1561"/>
      <w:bookmarkEnd w:id="113"/>
      <w:r w:rsidRPr="00C44A1E">
        <w:rPr>
          <w:rFonts w:ascii="Times New Roman" w:hAnsi="Times New Roman" w:cs="Times New Roman"/>
          <w:sz w:val="24"/>
          <w:szCs w:val="24"/>
          <w:lang w:val="en-US"/>
        </w:rPr>
        <w:t>141. BEAT Tuberculosis: a randomized controlled trial of a 6-month strategy for rifampicin-resistant tuberculosis. Francesca Conradie, Tasnim Badat, Asanda Poswa, Shakira Rajaram, Shaneen Kooverjee, Gary Maartens, Graeme Meintjes, Norbert Ndjeka, H.S Schaaf, Jennifer Hughes, Pauline Howell, Patrick Phillips medRxiv 2025.05.04.25326549; doi: https://doi.org/10.1101/2025.05.04.25326549</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4" w:name="P1562"/>
      <w:bookmarkEnd w:id="114"/>
      <w:r w:rsidRPr="00C44A1E">
        <w:rPr>
          <w:rFonts w:ascii="Times New Roman" w:hAnsi="Times New Roman" w:cs="Times New Roman"/>
          <w:sz w:val="24"/>
          <w:szCs w:val="24"/>
          <w:lang w:val="en-US"/>
        </w:rPr>
        <w:t xml:space="preserve">142. Hewison C., Khan U., Bastard M., Lachenal N., Coutisson S., Osso E. et al. Safety of treatment regimens containing bedaquiline and delamanid in the endTB Cohort. </w:t>
      </w:r>
      <w:r w:rsidRPr="00C44A1E">
        <w:rPr>
          <w:rFonts w:ascii="Times New Roman" w:hAnsi="Times New Roman" w:cs="Times New Roman"/>
          <w:sz w:val="24"/>
          <w:szCs w:val="24"/>
        </w:rPr>
        <w:t>Clin. Infect., 2022, vol. 75, no. 6, pp. 1006 - 1013</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5" w:name="P1563"/>
      <w:bookmarkEnd w:id="115"/>
      <w:r w:rsidRPr="00C44A1E">
        <w:rPr>
          <w:rFonts w:ascii="Times New Roman" w:hAnsi="Times New Roman" w:cs="Times New Roman"/>
          <w:sz w:val="24"/>
          <w:szCs w:val="24"/>
        </w:rPr>
        <w:t xml:space="preserve">143. Эффективность препарата </w:t>
      </w:r>
      <w:r w:rsidRPr="00C44A1E">
        <w:rPr>
          <w:rFonts w:ascii="Times New Roman" w:hAnsi="Times New Roman" w:cs="Times New Roman"/>
          <w:noProof/>
          <w:position w:val="-6"/>
          <w:sz w:val="24"/>
          <w:szCs w:val="24"/>
          <w:lang w:eastAsia="ru-RU"/>
        </w:rPr>
        <w:drawing>
          <wp:inline distT="0" distB="0" distL="0" distR="0" wp14:anchorId="6C2333A4" wp14:editId="1D810D4C">
            <wp:extent cx="1058545" cy="22034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8545" cy="220345"/>
                    </a:xfrm>
                    <a:prstGeom prst="rect">
                      <a:avLst/>
                    </a:prstGeom>
                    <a:noFill/>
                    <a:ln>
                      <a:noFill/>
                    </a:ln>
                  </pic:spPr>
                </pic:pic>
              </a:graphicData>
            </a:graphic>
          </wp:inline>
        </w:drawing>
      </w:r>
      <w:r w:rsidRPr="00C44A1E">
        <w:rPr>
          <w:rFonts w:ascii="Times New Roman" w:hAnsi="Times New Roman" w:cs="Times New Roman"/>
          <w:sz w:val="24"/>
          <w:szCs w:val="24"/>
        </w:rPr>
        <w:t xml:space="preserve"> в профилактике и лечении острых респираторных вирусных инфекций у детей, больных туберкулезом И.Е. Мильянкова, Н.И. Клевно, В.А. Аксенова, А.В. Казаков//Инфекционные болезни: Новости. Мнения. Обучение. N 1, 2017, С. 65 - 69</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6" w:name="P1564"/>
      <w:bookmarkEnd w:id="116"/>
      <w:r w:rsidRPr="00C44A1E">
        <w:rPr>
          <w:rFonts w:ascii="Times New Roman" w:hAnsi="Times New Roman" w:cs="Times New Roman"/>
          <w:sz w:val="24"/>
          <w:szCs w:val="24"/>
        </w:rPr>
        <w:t>144. Эпидемическая ситуация по туберкулезу у детей в Российской Федерации в период завершения пандемии COVID-19/И.Б. Куликова, И.А. Васильева, А.В. Казаков [и др.]//Туберкулез и болезни легких. - 2025. - Т. 103, N 3. - С. 8 - 16. - DOI 10.58838/2075-1230-2025-103-3-8-16.</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7" w:name="P1565"/>
      <w:bookmarkEnd w:id="117"/>
      <w:r w:rsidRPr="00C44A1E">
        <w:rPr>
          <w:rFonts w:ascii="Times New Roman" w:hAnsi="Times New Roman" w:cs="Times New Roman"/>
          <w:sz w:val="24"/>
          <w:szCs w:val="24"/>
        </w:rPr>
        <w:t>145. Барышникова, Л.А. Особенности туберкулеза у детей и подростков, получавших ранее химиопрофилактику/Л.А. Барышникова, В.А. Аксенова, И.М. Федорин//Туберкулез и болезни легких. - 2009. - Т. 86, N 1. - С. 30 - 32</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8" w:name="P1566"/>
      <w:bookmarkEnd w:id="118"/>
      <w:r w:rsidRPr="00C44A1E">
        <w:rPr>
          <w:rFonts w:ascii="Times New Roman" w:hAnsi="Times New Roman" w:cs="Times New Roman"/>
          <w:sz w:val="24"/>
          <w:szCs w:val="24"/>
        </w:rPr>
        <w:lastRenderedPageBreak/>
        <w:t xml:space="preserve">146. Зоркальцева Е.Ю., Пугачева С.В. Эффективность профилактического противотуберкулезного лечения детей в специализированном санатории и амбулаторно. Опыт Иркутской области//Туберкулез и болезни легких. - 2025. - Т. 103, N 1. - </w:t>
      </w:r>
      <w:proofErr w:type="gramStart"/>
      <w:r w:rsidRPr="00C44A1E">
        <w:rPr>
          <w:rFonts w:ascii="Times New Roman" w:hAnsi="Times New Roman" w:cs="Times New Roman"/>
          <w:sz w:val="24"/>
          <w:szCs w:val="24"/>
        </w:rPr>
        <w:t>С. 68 - 73].</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19" w:name="P1567"/>
      <w:bookmarkEnd w:id="119"/>
      <w:r w:rsidRPr="00C44A1E">
        <w:rPr>
          <w:rFonts w:ascii="Times New Roman" w:hAnsi="Times New Roman" w:cs="Times New Roman"/>
          <w:sz w:val="24"/>
          <w:szCs w:val="24"/>
          <w:lang w:val="en-US"/>
        </w:rPr>
        <w:t xml:space="preserve">147. WHO operational handbook on tuberculosis: module 5: management of tuberculosis in children and adolescents Geneva: World Health Organization; 2022; Turkova A, Wills GA, Wobudeya E, et al. Shorter treatment for nonsevere tuberculosis in African and Indian children. </w:t>
      </w:r>
      <w:r w:rsidRPr="00C44A1E">
        <w:rPr>
          <w:rFonts w:ascii="Times New Roman" w:hAnsi="Times New Roman" w:cs="Times New Roman"/>
          <w:sz w:val="24"/>
          <w:szCs w:val="24"/>
        </w:rPr>
        <w:t>N Engl J Med. 2022; 386(7).</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0" w:name="P1568"/>
      <w:bookmarkEnd w:id="120"/>
      <w:r w:rsidRPr="00C44A1E">
        <w:rPr>
          <w:rFonts w:ascii="Times New Roman" w:hAnsi="Times New Roman" w:cs="Times New Roman"/>
          <w:sz w:val="24"/>
          <w:szCs w:val="24"/>
        </w:rPr>
        <w:t>148. Таточенко В.К., Федоров А.М., Озерецковский Н.А. Профилактика и мониторинг поствакцинальных осложнений (пособие для врачей). М.: б/и, 2004: 127</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1" w:name="P1569"/>
      <w:bookmarkEnd w:id="121"/>
      <w:r w:rsidRPr="00C44A1E">
        <w:rPr>
          <w:rFonts w:ascii="Times New Roman" w:hAnsi="Times New Roman" w:cs="Times New Roman"/>
          <w:sz w:val="24"/>
          <w:szCs w:val="24"/>
        </w:rPr>
        <w:t>149. Белякова И.А., Филинюк О.В., Никифорова О.Ю., Пономарев Ю.Н., Белялов Р.Л., Караева Э.Э.-А., Пашиев К.Б., Вербицкий А.В., Свичарская А.К., Буйнова Л.Н. Реабилитация детей и подростков с локальными формами туберкулеза легких на госпитальном этапе.//Вестник ЦНИИТ N 4 2022 г., с 52 - 61. http://tb-bulletin.ru/arhiv_vseh_vipuskov/vipusk_4_21_2022</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2" w:name="P1570"/>
      <w:bookmarkEnd w:id="122"/>
      <w:r w:rsidRPr="00C44A1E">
        <w:rPr>
          <w:rFonts w:ascii="Times New Roman" w:hAnsi="Times New Roman" w:cs="Times New Roman"/>
          <w:sz w:val="24"/>
          <w:szCs w:val="24"/>
        </w:rPr>
        <w:t>150. Белякова И.А., Никифорова О.Ю., Филинюк О.В. Влияние превентивной химиотерапии и лечебной физкультуры на содержание в крови интерферона гамма, интерлейкинов 4 и 10 у детей с латентной туберкулезной инфекцией.//Туберкулез и социально значимые заболевания том 10 N 3 2022 с 47 - 48;</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3" w:name="P1571"/>
      <w:bookmarkEnd w:id="123"/>
      <w:r w:rsidRPr="00C44A1E">
        <w:rPr>
          <w:rFonts w:ascii="Times New Roman" w:hAnsi="Times New Roman" w:cs="Times New Roman"/>
          <w:sz w:val="24"/>
          <w:szCs w:val="24"/>
        </w:rPr>
        <w:t xml:space="preserve">151. Белякова И.А., Филинюк О.В., Колоколова О.В. Применение лечебной физкультуры в сочетании со слабым низкочастотным импульсным звуком с целью реабилитации детей с туберкулезом. Практические рекомендации.//ФГБОУ </w:t>
      </w:r>
      <w:proofErr w:type="gramStart"/>
      <w:r w:rsidRPr="00C44A1E">
        <w:rPr>
          <w:rFonts w:ascii="Times New Roman" w:hAnsi="Times New Roman" w:cs="Times New Roman"/>
          <w:sz w:val="24"/>
          <w:szCs w:val="24"/>
        </w:rPr>
        <w:t>ВО</w:t>
      </w:r>
      <w:proofErr w:type="gramEnd"/>
      <w:r w:rsidRPr="00C44A1E">
        <w:rPr>
          <w:rFonts w:ascii="Times New Roman" w:hAnsi="Times New Roman" w:cs="Times New Roman"/>
          <w:sz w:val="24"/>
          <w:szCs w:val="24"/>
        </w:rPr>
        <w:t xml:space="preserve"> "Сибирский государственный медицинский университет" Минздрава России, Г. Томск 2023 г., 22 с</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4" w:name="P1572"/>
      <w:bookmarkEnd w:id="124"/>
      <w:r w:rsidRPr="00C44A1E">
        <w:rPr>
          <w:rFonts w:ascii="Times New Roman" w:hAnsi="Times New Roman" w:cs="Times New Roman"/>
          <w:sz w:val="24"/>
          <w:szCs w:val="24"/>
        </w:rPr>
        <w:t>152. Г.С. Баласанянц. Концепция развития фтизиатрической санаторной помощи больным туберкулезом в Российской Федерации Медицинский альянс научно-практический журнал. - СПб, 2013. - N 4. - стр. 79 - 83</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5" w:name="P1573"/>
      <w:bookmarkEnd w:id="125"/>
      <w:r w:rsidRPr="00C44A1E">
        <w:rPr>
          <w:rFonts w:ascii="Times New Roman" w:hAnsi="Times New Roman" w:cs="Times New Roman"/>
          <w:sz w:val="24"/>
          <w:szCs w:val="24"/>
        </w:rPr>
        <w:t>153. А.В. Лысов, А.В. Казаков, С.В. Ситникова, А.С. Безукладова/Иммунологические кожные тесты в дифференциальной диагностике туберкулеза у взрослых//Туберкулез и социально-значимые заболевания. - 2020. - N 1. - С. 14 - 19154. А.В. Казаков, Н.И. Клевно, Е.А. Сокольская [и др.]/Роль современных иммунологических тестов в дифференциальной диагностике туберкулеза у детей//Медицинский совет. - 2025. - Т. 19, N 1. - С. 126 - 132</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6" w:name="P1574"/>
      <w:bookmarkEnd w:id="126"/>
      <w:r w:rsidRPr="00C44A1E">
        <w:rPr>
          <w:rFonts w:ascii="Times New Roman" w:hAnsi="Times New Roman" w:cs="Times New Roman"/>
          <w:sz w:val="24"/>
          <w:szCs w:val="24"/>
        </w:rPr>
        <w:t>154. Питание детей и подростков, находящихся на лечении в противотуберкулезных учреждениях (стационарах), санаториях/Кучма В.</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Горелова Ж.Ю, Блинова Е.Г., Гудинова Ж.В., Жернакова Г.Н., Леляк В.И., Фирстова Р.А., Леонтьева Р.А. - М. РОШУМЗ, 2020. - 25 с</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155. Цыбульская Ю.А., Грабарник А.Е., Шутихина И.В., Смердин С.В., Селюкова Н.В., Ратобыльский Г.В. Применение новых рентгеновских технологий (томосинтеза) в диагностике и оценке результатов лечения генитального туберкулеза. Туберкулез и болезни легких. 2015; (4): 28 - 31. https://doi.org/10.21292/2075-1230-2015-0-4-28-31.</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27" w:name="P1576"/>
      <w:bookmarkEnd w:id="127"/>
      <w:r w:rsidRPr="00C44A1E">
        <w:rPr>
          <w:rFonts w:ascii="Times New Roman" w:hAnsi="Times New Roman" w:cs="Times New Roman"/>
          <w:sz w:val="24"/>
          <w:szCs w:val="24"/>
        </w:rPr>
        <w:t xml:space="preserve">156. Turkova A, Wills GA, Wobudeya E, et al. </w:t>
      </w:r>
      <w:proofErr w:type="gramStart"/>
      <w:r w:rsidRPr="00C44A1E">
        <w:rPr>
          <w:rFonts w:ascii="Times New Roman" w:hAnsi="Times New Roman" w:cs="Times New Roman"/>
          <w:sz w:val="24"/>
          <w:szCs w:val="24"/>
          <w:lang w:val="en-US"/>
        </w:rPr>
        <w:t>Shorter treatment for nonsevere tuberculosis in African and Indian children.</w:t>
      </w:r>
      <w:proofErr w:type="gramEnd"/>
      <w:r w:rsidRPr="00C44A1E">
        <w:rPr>
          <w:rFonts w:ascii="Times New Roman" w:hAnsi="Times New Roman" w:cs="Times New Roman"/>
          <w:sz w:val="24"/>
          <w:szCs w:val="24"/>
          <w:lang w:val="en-US"/>
        </w:rPr>
        <w:t xml:space="preserve"> </w:t>
      </w:r>
      <w:r w:rsidRPr="00C44A1E">
        <w:rPr>
          <w:rFonts w:ascii="Times New Roman" w:hAnsi="Times New Roman" w:cs="Times New Roman"/>
          <w:sz w:val="24"/>
          <w:szCs w:val="24"/>
        </w:rPr>
        <w:t>N Engl J Med. 2022; 386(7).</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right"/>
        <w:outlineLvl w:val="0"/>
        <w:rPr>
          <w:rFonts w:ascii="Times New Roman" w:hAnsi="Times New Roman" w:cs="Times New Roman"/>
          <w:sz w:val="24"/>
          <w:szCs w:val="24"/>
        </w:rPr>
      </w:pPr>
      <w:r w:rsidRPr="00C44A1E">
        <w:rPr>
          <w:rFonts w:ascii="Times New Roman" w:hAnsi="Times New Roman" w:cs="Times New Roman"/>
          <w:sz w:val="24"/>
          <w:szCs w:val="24"/>
        </w:rPr>
        <w:t>Приложение А</w:t>
      </w:r>
      <w:proofErr w:type="gramStart"/>
      <w:r w:rsidRPr="00C44A1E">
        <w:rPr>
          <w:rFonts w:ascii="Times New Roman" w:hAnsi="Times New Roman" w:cs="Times New Roman"/>
          <w:sz w:val="24"/>
          <w:szCs w:val="24"/>
        </w:rPr>
        <w:t>1</w:t>
      </w:r>
      <w:proofErr w:type="gramEnd"/>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СОСТАВ</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РАБОЧЕЙ ГРУППЫ ПО РАЗРАБОТКЕ И ПЕРЕСМОТРУ</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КЛИНИЧЕСКИХ РЕКОМЕНДАЦИЙ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Барышникова Лада Анатольевна,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Бармина Наталья Александровна,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Баронова Ольга Дмитриевна,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Валиев Равиль Шамилович, профессор,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Васильева Ирина Анатольевна, профессор, д.м.н., конфликта интересов нет, президент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Гайда Анастасия Игоревна,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Губкина Марина Федоровна,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Довгалюк Ирина Федоровна, профессор,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Долженко Елена Николаевна,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Елисеев Платон Иванович,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Казаков Алексей Владимирович,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Клевно Надежда Ивановна,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Ловачева Ольга Викторовна, профессор,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Лугинова Евдокия Федоровна,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Мотанова Людмила Николаевна,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Овсянкина Елена Сергеевна, профессор,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Осина Светлана Леонидовна,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Павленок Ирина Викторовна,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Панова Анна Евгеньевна,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Панова Людмила Владимировна,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Пантелеев Александр Михайлович,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Паролина Любовь Евгеньевна, д.м.н., профессор,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Пахлавонова Азиза Дамировна,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Поддубная Людмила Владимировна,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Продеус Андрей Петрович, д.м.н., профессор,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Плеханова Мария Александровна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Сагакянц Рипсме Григорьевна,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Самойлова Анастасия Геннадьевна,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Севостьянова Татьяна Александровна,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Слогоцская Людмила Владимировна,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Тинькова Валентина Вячеславовна, к.м.н.,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Фатыхова Рамзия Хамитовна,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Чугаев Юрий Петрович, профессор, д.м.н., конфликта интересов нет, член Общероссийской общественной организации "Российское общество фтизиатров".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Шурыгин Александр Анатольевич, профессор, д.м.н., конфликта интересов нет, член Общероссийской общественной организации "Российское общество фтизиатров".</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right"/>
        <w:outlineLvl w:val="0"/>
        <w:rPr>
          <w:rFonts w:ascii="Times New Roman" w:hAnsi="Times New Roman" w:cs="Times New Roman"/>
          <w:sz w:val="24"/>
          <w:szCs w:val="24"/>
        </w:rPr>
      </w:pPr>
      <w:r w:rsidRPr="00C44A1E">
        <w:rPr>
          <w:rFonts w:ascii="Times New Roman" w:hAnsi="Times New Roman" w:cs="Times New Roman"/>
          <w:sz w:val="24"/>
          <w:szCs w:val="24"/>
        </w:rPr>
        <w:t>Приложение А</w:t>
      </w:r>
      <w:proofErr w:type="gramStart"/>
      <w:r w:rsidRPr="00C44A1E">
        <w:rPr>
          <w:rFonts w:ascii="Times New Roman" w:hAnsi="Times New Roman" w:cs="Times New Roman"/>
          <w:sz w:val="24"/>
          <w:szCs w:val="24"/>
        </w:rPr>
        <w:t>2</w:t>
      </w:r>
      <w:proofErr w:type="gramEnd"/>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МЕТОДОЛОГИЯ РАЗРАБОТКИ КЛИНИЧЕСКИХ РЕКОМЕНДАЦИЙ</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Методы, использованные для сбора/селекции доказательств: Поиск в электронных базах данных. Поиск публикаций выполнялся в библиографических базах данных PubMed, Кокрейновской библиотеке, отечественной научной электронной библиотеке eLibrary.ru. Глубина поиска составила 33 года.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Целевая аудитория клинических рекомендаций: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 соответствии с перечнем должностей медицинских работников:</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Врач-фтизиатр; врач-фтизиатр участковый; врач-инфекционист; врач общей практики (семейный врач); врач-педиатр; врач-педиатр городской (районный); врач-педиатр участковый.</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Оценка значимости проводилась в соответствии с рейтинговой оценкой уровней достоверности доказательств (табл. 1 - 3).</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1. Шкала оценки уровней достоверности доказательств (УДД) для методов диагностики (диагностических вмешательств)</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277"/>
      </w:tblGrid>
      <w:tr w:rsidR="00FC36A5" w:rsidRPr="00C44A1E">
        <w:tc>
          <w:tcPr>
            <w:tcW w:w="79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УДД</w:t>
            </w:r>
          </w:p>
        </w:tc>
        <w:tc>
          <w:tcPr>
            <w:tcW w:w="827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Расшифровка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Систематические обзоры исследований с контролем референсным методом или систематический обзор рандомизированных клинических исследований (РКИ) с применением метаанализа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Отдельные исследования с контролем референсным методом или отдельные РКИ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Несравнительные исследования, описание клинического случая</w:t>
            </w:r>
          </w:p>
        </w:tc>
      </w:tr>
      <w:tr w:rsidR="00414991"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Имеется лишь обоснование механизма действия или мнение экспертов</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2. Шкала оценки уровней достоверности доказательств (УДД) для методов профилактики, лечения и реабилитации, в том числе основанных на использовании природных лечебных факторов (профилактических, лечебных, реабилитационных вмешательств)</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277"/>
      </w:tblGrid>
      <w:tr w:rsidR="00FC36A5" w:rsidRPr="00C44A1E">
        <w:tc>
          <w:tcPr>
            <w:tcW w:w="79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lastRenderedPageBreak/>
              <w:t>УДД</w:t>
            </w:r>
          </w:p>
        </w:tc>
        <w:tc>
          <w:tcPr>
            <w:tcW w:w="827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Расшифровка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Систематический обзор РКИ с применением метаанализа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Отдельные РКИ и систематические обзоры исследований любого дизайна, за исключением РКИ, с применением метаанализа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Нерандомизированные сравнительные исследования, в т.ч. когортные исследования</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Несравнительные исследования, описание клинического случая или серии случаев, исследования "случай-контроль"</w:t>
            </w:r>
          </w:p>
        </w:tc>
      </w:tr>
      <w:tr w:rsidR="00414991"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Имеется лишь обоснование механизма действия вмешательства (доклинические исследования) или мнение экспертов</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128" w:name="P1667"/>
      <w:bookmarkEnd w:id="128"/>
      <w:r w:rsidRPr="00C44A1E">
        <w:rPr>
          <w:rFonts w:ascii="Times New Roman" w:hAnsi="Times New Roman" w:cs="Times New Roman"/>
          <w:sz w:val="24"/>
          <w:szCs w:val="24"/>
        </w:rPr>
        <w:t>Таблица 3. Шкала оценки уровней убедительности рекомендаций (УУР) для методов профилактики, диагностики, лечения и реабилитации, в том числе основанных на использовании природных лечебных факторов (профилактических, диагностических, лечебных, реабилитационных вмешательств)</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277"/>
      </w:tblGrid>
      <w:tr w:rsidR="00FC36A5" w:rsidRPr="00C44A1E">
        <w:tc>
          <w:tcPr>
            <w:tcW w:w="794"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УУР</w:t>
            </w:r>
          </w:p>
        </w:tc>
        <w:tc>
          <w:tcPr>
            <w:tcW w:w="827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Расшифровка</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A</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rsidR="00FC36A5"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bookmarkStart w:id="129" w:name="P1673"/>
            <w:bookmarkEnd w:id="129"/>
            <w:r w:rsidRPr="00C44A1E">
              <w:rPr>
                <w:rFonts w:ascii="Times New Roman" w:hAnsi="Times New Roman" w:cs="Times New Roman"/>
                <w:sz w:val="24"/>
                <w:szCs w:val="24"/>
              </w:rPr>
              <w:t>B</w:t>
            </w:r>
          </w:p>
        </w:tc>
        <w:tc>
          <w:tcPr>
            <w:tcW w:w="827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rsidR="00414991" w:rsidRPr="00C44A1E">
        <w:tc>
          <w:tcPr>
            <w:tcW w:w="794" w:type="dxa"/>
          </w:tcPr>
          <w:p w:rsidR="00414991" w:rsidRPr="00C44A1E" w:rsidRDefault="00414991">
            <w:pPr>
              <w:spacing w:after="1" w:line="220" w:lineRule="atLeast"/>
              <w:jc w:val="both"/>
              <w:rPr>
                <w:rFonts w:ascii="Times New Roman" w:hAnsi="Times New Roman" w:cs="Times New Roman"/>
                <w:sz w:val="24"/>
                <w:szCs w:val="24"/>
              </w:rPr>
            </w:pPr>
            <w:bookmarkStart w:id="130" w:name="P1675"/>
            <w:bookmarkEnd w:id="130"/>
            <w:r w:rsidRPr="00C44A1E">
              <w:rPr>
                <w:rFonts w:ascii="Times New Roman" w:hAnsi="Times New Roman" w:cs="Times New Roman"/>
                <w:sz w:val="24"/>
                <w:szCs w:val="24"/>
              </w:rPr>
              <w:t>C</w:t>
            </w:r>
          </w:p>
        </w:tc>
        <w:tc>
          <w:tcPr>
            <w:tcW w:w="8277"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roofErr w:type="gramEnd"/>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Порядок обновления клинических рекомендаций.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w:t>
      </w:r>
      <w:proofErr w:type="gramStart"/>
      <w:r w:rsidRPr="00C44A1E">
        <w:rPr>
          <w:rFonts w:ascii="Times New Roman" w:hAnsi="Times New Roman" w:cs="Times New Roman"/>
          <w:sz w:val="24"/>
          <w:szCs w:val="24"/>
        </w:rPr>
        <w:t>КР</w:t>
      </w:r>
      <w:proofErr w:type="gramEnd"/>
      <w:r w:rsidRPr="00C44A1E">
        <w:rPr>
          <w:rFonts w:ascii="Times New Roman" w:hAnsi="Times New Roman" w:cs="Times New Roman"/>
          <w:sz w:val="24"/>
          <w:szCs w:val="24"/>
        </w:rPr>
        <w:t>, но не чаще 1 раза в 6 месяцев.</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right"/>
        <w:outlineLvl w:val="0"/>
        <w:rPr>
          <w:rFonts w:ascii="Times New Roman" w:hAnsi="Times New Roman" w:cs="Times New Roman"/>
          <w:sz w:val="24"/>
          <w:szCs w:val="24"/>
        </w:rPr>
      </w:pPr>
      <w:r w:rsidRPr="00C44A1E">
        <w:rPr>
          <w:rFonts w:ascii="Times New Roman" w:hAnsi="Times New Roman" w:cs="Times New Roman"/>
          <w:sz w:val="24"/>
          <w:szCs w:val="24"/>
        </w:rPr>
        <w:t>Приложение А3</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bookmarkStart w:id="131" w:name="P1687"/>
      <w:bookmarkEnd w:id="131"/>
      <w:r w:rsidRPr="00C44A1E">
        <w:rPr>
          <w:rFonts w:ascii="Times New Roman" w:hAnsi="Times New Roman" w:cs="Times New Roman"/>
          <w:b/>
          <w:sz w:val="24"/>
          <w:szCs w:val="24"/>
        </w:rPr>
        <w:t>СПРАВОЧНЫЕ МАТЕРИАЛЫ,</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lastRenderedPageBreak/>
        <w:t>ВКЛЮЧАЯ СООТВЕТСТВИЕ ПОКАЗАНИЙ К ПРИМЕНЕНИЮ</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И ПРОТИВОПОКАЗАНИЙ, СПОСОБОВ ПРИМЕНЕНИЯ И ДОЗ ЛЕКАРСТВЕННЫХ</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ПРЕПАРАТОВ, ИНСТРУКЦИИ ПО ПРИМЕНЕНИЮ</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ЛЕКАРСТВЕННОГО ПРЕПАРАТА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Связанные документы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Данные клинические рекомендации разработаны с учетом следующих нормативно-правовых документов: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 Федеральный закон Российской Федерации от 18.06.01 N 77-ФЗ "О предупреждении распространения туберкулеза в Российской Федерации";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2. Федеральный закон Российской Федерации от 21.11.2011 N 323-ФЗ "Об основах охраны здоровья граждан в Российской Федерации";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3. Инструкция по применению клинической классификации туберкулеза (Приказ Минздрава России от N 109 от 21.03.2003)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4. Методические рекомендации по совершенствованию диагностики и лечения туберкулеза органов дыхания (Приказ Минздрава России от 29.12.2014 N 951)</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5. Методическое руководство "Скрининговое обследование детей и подростков с целью выявления туберкулезной инфекции". М. 2018, - 48 с. ISBN978-5-9907438-7-8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6. Номенклатура специальностей специалистов, имеющих высшее медицинское и фармацевтическое образование (Приказ Минздрава России от 07.10.2015 N 700н)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7. Об утверждении Порядка оказания медицинской помощи больным туберкулезом (Приказ Минздрава России N 932-н от 15.11.2012)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8. Правила организации деятельности санатория для лечения туберкулеза всех форм (Приказ Минздрава России N 932-н от 15.11.2012)</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9. Порядок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(Приказ МЗ РФ от 13 марта 2019 г. N 127н)</w:t>
      </w:r>
    </w:p>
    <w:p w:rsidR="00414991" w:rsidRPr="00C44A1E" w:rsidRDefault="00414991">
      <w:pPr>
        <w:spacing w:before="28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10. Приказ Министерства труда и социальной защиты РФ от 31 октября 2018 г. N 68</w:t>
      </w:r>
      <w:r w:rsidR="00CE1395">
        <w:rPr>
          <w:rFonts w:ascii="Times New Roman" w:hAnsi="Times New Roman" w:cs="Times New Roman"/>
          <w:sz w:val="24"/>
          <w:szCs w:val="24"/>
        </w:rPr>
        <w:t>4</w:t>
      </w:r>
      <w:r w:rsidRPr="00C44A1E">
        <w:rPr>
          <w:rFonts w:ascii="Times New Roman" w:hAnsi="Times New Roman" w:cs="Times New Roman"/>
          <w:sz w:val="24"/>
          <w:szCs w:val="24"/>
        </w:rPr>
        <w:t>н "Об утверждении профессионального стандарта "Врач-фтизиатр"</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11. Приказ Министерства здравоохранения РФ от 11 апреля 2025 г. N 190н "Об утверждении порядка и сроков проведения профилактических медицинских осмотров граждан в целях выявления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12. Распоряжение Правительства РФ от 16 мая 2022 г. N 1180-р "О перечне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Режимы химиотерапии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Режим химиотерапии - это комбинация противотуберкулезных и антибактериальных препаратов, длительность и кратность их приема, сроки и содержание контрольных исследований, а также организационные формы лечения. Режим химиотерапии определяется на основании лекарственной чувствительности МБТ, </w:t>
      </w:r>
      <w:proofErr w:type="gramStart"/>
      <w:r w:rsidRPr="00C44A1E">
        <w:rPr>
          <w:rFonts w:ascii="Times New Roman" w:hAnsi="Times New Roman" w:cs="Times New Roman"/>
          <w:sz w:val="24"/>
          <w:szCs w:val="24"/>
        </w:rPr>
        <w:t>выделенных</w:t>
      </w:r>
      <w:proofErr w:type="gramEnd"/>
      <w:r w:rsidRPr="00C44A1E">
        <w:rPr>
          <w:rFonts w:ascii="Times New Roman" w:hAnsi="Times New Roman" w:cs="Times New Roman"/>
          <w:sz w:val="24"/>
          <w:szCs w:val="24"/>
        </w:rPr>
        <w:t xml:space="preserve"> из патологического материала, или данными анамнеза при их отсутствии.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Выбор режима осуществляется с учетом спектра лекарственной устойчивости выделенного возбудителя у пациента, либо предполагаемой лекарственной чувствительности и устойчивости (контакт с больным МЛУ/ШЛУ-ТБ).</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наличии бактериовыделения на первом этапе выбор режима химиотерапии определяется результатом МГМ определения лекарственной устойчивости, как минимум, к изониазиду** и\или рифампицину**; и фторхинолонам. Коррекцию режима химиотерапии проводят в последующем на основании результата фенотипического определения лекарственной чувствительности возбудителя к препаратам основного и резервного ряда (культуральный метод).</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Лекарственные препараты для химиотерапии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Препараты для лечения лекарственно-чувствительного ТБ: изониазид** и рифампицин** являются эффективными противотуберкулезными препаратами, в отношении которых доказано наличие бактерицидного эффекта. Препараты эффективны как в отношении внеклеточно, так и внутриклеточно </w:t>
      </w:r>
      <w:proofErr w:type="gramStart"/>
      <w:r w:rsidRPr="00C44A1E">
        <w:rPr>
          <w:rFonts w:ascii="Times New Roman" w:hAnsi="Times New Roman" w:cs="Times New Roman"/>
          <w:sz w:val="24"/>
          <w:szCs w:val="24"/>
        </w:rPr>
        <w:t>расположенных</w:t>
      </w:r>
      <w:proofErr w:type="gramEnd"/>
      <w:r w:rsidRPr="00C44A1E">
        <w:rPr>
          <w:rFonts w:ascii="Times New Roman" w:hAnsi="Times New Roman" w:cs="Times New Roman"/>
          <w:sz w:val="24"/>
          <w:szCs w:val="24"/>
        </w:rPr>
        <w:t xml:space="preserve"> МБТ, способны проходить сквозь гематоэнцефалический барьер. #Рифапентин в отличие от рифампицина** долго сохраняет бактерицидную активность в тканях, в </w:t>
      </w:r>
      <w:proofErr w:type="gramStart"/>
      <w:r w:rsidRPr="00C44A1E">
        <w:rPr>
          <w:rFonts w:ascii="Times New Roman" w:hAnsi="Times New Roman" w:cs="Times New Roman"/>
          <w:sz w:val="24"/>
          <w:szCs w:val="24"/>
        </w:rPr>
        <w:t>связи</w:t>
      </w:r>
      <w:proofErr w:type="gramEnd"/>
      <w:r w:rsidRPr="00C44A1E">
        <w:rPr>
          <w:rFonts w:ascii="Times New Roman" w:hAnsi="Times New Roman" w:cs="Times New Roman"/>
          <w:sz w:val="24"/>
          <w:szCs w:val="24"/>
        </w:rPr>
        <w:t xml:space="preserve"> с чем его назначают 2 - 3 раза в неделю. Бактерицидное действие пиразинамида** несколько ниже, однако, важным преимуществом этого препарата является сохранение активности в кислой среде казеоза. #Этамбутол** подавляет размножение МБТ и некоторых атипичных микобактерий, устойчивых к другим противотуберкулезным препаратам. Комбинация изониазида**, рифампицина**, пиразинамида** и #этамбутола** высокоэффективна для пациентов с лекарственно чувствительным туберкулезом (способ применения, доза препаратов #рифапентин и #этамбутол**,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резистентности МБТ к изониазиду** и рифампицину** пиразинамид** и #этамбутол** могут быть компонентами схем терапии пациентов с МЛУ ТБ при подтвержденной чувствительности возбудителя к этим препаратам (способ применения, доза препарата #этамбутол**,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Препараты для лечения лекарственно-устойчивого ТБ: фторхинолоны (#левофлоксацин**, #моксифлоксацин**) включаются в режим химиотерапии пациентов с МЛУ ТБ всегда в связи с их бактерицидным действием на МБТ. #Моксифлоксацин** более часто приводит к удлинению интервала QT, чем #левофлоксацин**, поэтому препаратом выбора для детей является #левофлоксацин**. Многие исследователи считают, что перекрестная устойчивость между препаратами этого класса высока. Наличие устойчивости МБТ к фторхинолонам значительно повышает риск неэффективного лечения пациентов с МЛУ ТБ. К сожалению, устойчивость МБТ к фторхинолонам уже широко распространена. Одной из самых частых причин ее развития является неконтролируемый прием лекарственных препаратов, необоснованное применение фторхинолонов в эмпирических режимах химиотерапии туберкулеза при неизвестной ЛЧ МБТ к другим ПТП (способ применения, доза препаратов </w:t>
      </w:r>
      <w:r w:rsidRPr="00C44A1E">
        <w:rPr>
          <w:rFonts w:ascii="Times New Roman" w:hAnsi="Times New Roman" w:cs="Times New Roman"/>
          <w:sz w:val="24"/>
          <w:szCs w:val="24"/>
        </w:rPr>
        <w:lastRenderedPageBreak/>
        <w:t>#левофлоксацин**, #моксифлоксацин**,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#Бедаквилин** - представитель класса диарилхинолинов (АТХ J04AK Другие противотуберкулезные препараты), является новым высокоэффективным препаратом для лечения МЛУ ТБ. Препарат оказывает бактерицидное действие на МБТ. Не имеет перекрестной резистентности с другими, применяемыми в РФ, ПТП в связи с уникальным механизмом действия (воздействует на аденозин-5'-трифосфат (АТФ) синтазу микобактерий). #</w:t>
      </w:r>
      <w:proofErr w:type="gramStart"/>
      <w:r w:rsidRPr="00C44A1E">
        <w:rPr>
          <w:rFonts w:ascii="Times New Roman" w:hAnsi="Times New Roman" w:cs="Times New Roman"/>
          <w:sz w:val="24"/>
          <w:szCs w:val="24"/>
        </w:rPr>
        <w:t>Бедаквилин** сегодня является основой всех схем терапии пациентов с МЛУ ТБ, т.к. неоднократно доказал свою высокую эффективность в клинических и наблюдательных исследованиях, рекомендован ВОЗ для лечения детей с МЛУ ТБ в любом возрасте (более 3 кг веса ребенка) (способ применения, доза препарата #бедаквилин**, длительность применения у детей см. в Приложении А3, таблица 9).</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Антибактериальный препарат системного действия класса оксазолидинонов (АТХ J01XX</w:t>
      </w:r>
      <w:proofErr w:type="gramStart"/>
      <w:r w:rsidRPr="00C44A1E">
        <w:rPr>
          <w:rFonts w:ascii="Times New Roman" w:hAnsi="Times New Roman" w:cs="Times New Roman"/>
          <w:sz w:val="24"/>
          <w:szCs w:val="24"/>
        </w:rPr>
        <w:t xml:space="preserve"> П</w:t>
      </w:r>
      <w:proofErr w:type="gramEnd"/>
      <w:r w:rsidRPr="00C44A1E">
        <w:rPr>
          <w:rFonts w:ascii="Times New Roman" w:hAnsi="Times New Roman" w:cs="Times New Roman"/>
          <w:sz w:val="24"/>
          <w:szCs w:val="24"/>
        </w:rPr>
        <w:t>рочие антибактериальные препараты) - #линезолид** - высокоактивен в отношении микобактерий туберкулеза. При назначении #линезолида** эффективность лечения пациентов с МЛУ ТБ значительно повышается (способ применения, доза препарата #линезолид**,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Циклосерин** (с 3-х лет)/#Циклосерин** (до 3-х лет)/#теризидон** наиболее часто ассоциируются с эффективным лечением пациентов с МЛУ ТБ и рекомендуются к включению в схемы терапии. #Теризидон** содержит в своем составе две молекулы циклосерина, обладает такой же эффективностью, но лучшей переносимостью и может использоваться вместо него (способ применения, доза препарата #теризидон**,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#Деламанид** - новый противотуберкулезный препарат. Фармакологический механизм действия #деламанида** связан с ингибированием синтеза компонентов клеточной стенки микобактерий - метокси-миколовой и кето-миколовой кислоты. #Деламанид** </w:t>
      </w:r>
      <w:proofErr w:type="gramStart"/>
      <w:r w:rsidRPr="00C44A1E">
        <w:rPr>
          <w:rFonts w:ascii="Times New Roman" w:hAnsi="Times New Roman" w:cs="Times New Roman"/>
          <w:sz w:val="24"/>
          <w:szCs w:val="24"/>
        </w:rPr>
        <w:t>способен</w:t>
      </w:r>
      <w:proofErr w:type="gramEnd"/>
      <w:r w:rsidRPr="00C44A1E">
        <w:rPr>
          <w:rFonts w:ascii="Times New Roman" w:hAnsi="Times New Roman" w:cs="Times New Roman"/>
          <w:sz w:val="24"/>
          <w:szCs w:val="24"/>
        </w:rPr>
        <w:t xml:space="preserve"> оказывать мощное бактерицидное действие в отношении микобактерий туберкулеза, а также эффективен в борьбе с внутриклеточной формой МБТ на уровне макрофагов. Всасывание происходит в желудочно-кишечном </w:t>
      </w:r>
      <w:proofErr w:type="gramStart"/>
      <w:r w:rsidRPr="00C44A1E">
        <w:rPr>
          <w:rFonts w:ascii="Times New Roman" w:hAnsi="Times New Roman" w:cs="Times New Roman"/>
          <w:sz w:val="24"/>
          <w:szCs w:val="24"/>
        </w:rPr>
        <w:t>тракте</w:t>
      </w:r>
      <w:proofErr w:type="gramEnd"/>
      <w:r w:rsidRPr="00C44A1E">
        <w:rPr>
          <w:rFonts w:ascii="Times New Roman" w:hAnsi="Times New Roman" w:cs="Times New Roman"/>
          <w:sz w:val="24"/>
          <w:szCs w:val="24"/>
        </w:rPr>
        <w:t xml:space="preserve"> и его эффективность повышается при условии употребления лекарства во время еды. В соответствии с рекомендациями ВОЗ 2022 г. применение #деламанида** совместно с #бедаквилином** является безопасным (способ применения, доза препаратов #теризидон**, #бедаквилин**,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Антибактериальные препараты системного действия класса карбапенемов (#имипенем + [Циластатин]**, #меропенем**) могут быть назначены пациентам с МЛУ/ШЛУ ТБ при невозможности сформировать режим химиотерапии из 4 препаратов с известной лекарственной чувствительностью (включая #бедаквилин**, #линезолид**). </w:t>
      </w:r>
      <w:proofErr w:type="gramStart"/>
      <w:r w:rsidRPr="00C44A1E">
        <w:rPr>
          <w:rFonts w:ascii="Times New Roman" w:hAnsi="Times New Roman" w:cs="Times New Roman"/>
          <w:sz w:val="24"/>
          <w:szCs w:val="24"/>
        </w:rPr>
        <w:t>В связи с наибольшей активностью карбапенемов в присутствии клавулановой кислоты по отношению к M. tuberculosis, препараты #имипенем + циластатин** и #меропенем** назначаются с обязательным включением в режим химиотерапии #амоксициллина + клавулановая кислота** из расчета 125 мг кислоты каждые 8 - 12 ч (способ применения, доза препаратов #имипенем + [Циластатин]**, #меропенем**, #бедаквилин**, #линезолид**, #амоксициллин + клавулановая кислота** длительность применения у детей см. в Приложении А3, таблица</w:t>
      </w:r>
      <w:proofErr w:type="gramEnd"/>
      <w:r w:rsidRPr="00C44A1E">
        <w:rPr>
          <w:rFonts w:ascii="Times New Roman" w:hAnsi="Times New Roman" w:cs="Times New Roman"/>
          <w:sz w:val="24"/>
          <w:szCs w:val="24"/>
        </w:rPr>
        <w:t xml:space="preserve"> 9).</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Тиоамиды (АТХ J04AD Производные тиокарбамида) (этионамид**/протионамид**) в ряде исследований показывают повышение эффективности лечения пациентов с МЛУ </w:t>
      </w:r>
      <w:r w:rsidRPr="00C44A1E">
        <w:rPr>
          <w:rFonts w:ascii="Times New Roman" w:hAnsi="Times New Roman" w:cs="Times New Roman"/>
          <w:sz w:val="24"/>
          <w:szCs w:val="24"/>
        </w:rPr>
        <w:lastRenderedPageBreak/>
        <w:t>ТБ при их применении, но при наличии устойчивости МБТ к изониазиду** в гене inhA тиоамиды (АТХ J04AD Производные тиокарбамида) нельзя считать эффективными препаратами в связи с их перекрестной резистентностью с изониазидом** при наличии мутаций в этом гене.</w:t>
      </w:r>
      <w:proofErr w:type="gramEnd"/>
      <w:r w:rsidRPr="00C44A1E">
        <w:rPr>
          <w:rFonts w:ascii="Times New Roman" w:hAnsi="Times New Roman" w:cs="Times New Roman"/>
          <w:sz w:val="24"/>
          <w:szCs w:val="24"/>
        </w:rPr>
        <w:t xml:space="preserve"> В связи с появлением новых бактерицидных противотуберкулезных препаратов роль тиоамидов (АТХ J04AD Производные тиокарбамида) в схемах терапии МЛУ ТБ снижается.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Аминосалициловая кислота** включается в схемы химиотерапии МЛУ ТБ при невозможности составления режима ХТ из 4 эффективных препаратов. Данный лекарственный препарат является лидером по частоте серьезных нежелательных явлений среди других противотуберкулезных и антибактериальных препаратов системного действия. Сочетанное назначение этионамида**/протионамида** и аминосалициловой кислоты** сопровождается частыми побочными реакциями со стороны желудочно-кишечного тракта, а также развитием гипотиреоза, что затрудняет их совместное применение.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Инъекционные препараты #амикацин**, канамицин**, #капреомицин** в современных рекомендациях применяются в схемах ХТ по решению ВК и очень осторожно из-за серьезных нежелательных реакций.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Перекрестная резистентность. Мутации, вызывающие устойчивость к одному препарату, могут также вызвать устойчивость к некоторым или ко всем препаратам данной группы и даже, что более редко, к препаратам из других групп. Например, устойчивость к аминогликозиду канамицину** с высокой степенью вероятности означает наличие перекрестной устойчивости к #амикацину**. С другой стороны, перекрестная устойчивость между аминогликозидами, канамицином** и стрептомицином** обычно низкая. Кроме того, выделенные у пациентов штаммы МБТ, устойчивые к высоким дозам канамицина**, могут обладать устойчивостью к #капреомицину** (способ применения, доза препаратов #амикацин**, #капреомицин**, длительность применения у детей см. в Приложении А3, таблица 9).</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Перекрестная резистентность противотуберкулезных препаратов приведена в табл. 7.</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4. Перекрестная резистентность противотуберкулезных препаратов</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973"/>
      </w:tblGrid>
      <w:tr w:rsidR="00FC36A5" w:rsidRPr="00C44A1E">
        <w:tc>
          <w:tcPr>
            <w:tcW w:w="209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Препараты</w:t>
            </w:r>
          </w:p>
        </w:tc>
        <w:tc>
          <w:tcPr>
            <w:tcW w:w="6973"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Перекрестная резистентность</w:t>
            </w:r>
          </w:p>
        </w:tc>
      </w:tr>
      <w:tr w:rsidR="00FC36A5" w:rsidRPr="00C44A1E">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w:t>
            </w:r>
          </w:p>
        </w:tc>
        <w:tc>
          <w:tcPr>
            <w:tcW w:w="697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устойчивости к изониазиду** с мутацией в гене inhA возможна устойчивость к тиоамидам</w:t>
            </w:r>
          </w:p>
        </w:tc>
      </w:tr>
      <w:tr w:rsidR="00FC36A5" w:rsidRPr="00C44A1E">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Рифампицин**, #рифапентин</w:t>
            </w:r>
          </w:p>
        </w:tc>
        <w:tc>
          <w:tcPr>
            <w:tcW w:w="697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Рифампицин** и #рифапентин имеют высокую перекрестную резистентность</w:t>
            </w:r>
          </w:p>
        </w:tc>
      </w:tr>
      <w:tr w:rsidR="00FC36A5" w:rsidRPr="00C44A1E">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Этионамид**</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Протионамид**</w:t>
            </w:r>
          </w:p>
        </w:tc>
        <w:tc>
          <w:tcPr>
            <w:tcW w:w="697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Препараты группы имеют 100% перекрестную резистентность</w:t>
            </w:r>
          </w:p>
        </w:tc>
      </w:tr>
      <w:tr w:rsidR="00FC36A5" w:rsidRPr="00C44A1E">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Аминогликозиды</w:t>
            </w:r>
          </w:p>
        </w:tc>
        <w:tc>
          <w:tcPr>
            <w:tcW w:w="697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#Амикацин** и канамицин** имеют высокую перекрестную резистентность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Аминогликозиды и #капреомицин** имеют низкую перекрестную резистентность, ассоциированную с мутацией в rrs гене</w:t>
            </w:r>
          </w:p>
        </w:tc>
      </w:tr>
      <w:tr w:rsidR="00414991" w:rsidRPr="00C44A1E">
        <w:tc>
          <w:tcPr>
            <w:tcW w:w="209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Фторхинолоны</w:t>
            </w:r>
          </w:p>
        </w:tc>
        <w:tc>
          <w:tcPr>
            <w:tcW w:w="697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Имеют различную перекрестную резистентность внутри группы. В исследованиях in vitro доказано, что некоторые штаммы МБТ </w:t>
            </w:r>
            <w:r w:rsidRPr="00C44A1E">
              <w:rPr>
                <w:rFonts w:ascii="Times New Roman" w:hAnsi="Times New Roman" w:cs="Times New Roman"/>
                <w:sz w:val="24"/>
                <w:szCs w:val="24"/>
              </w:rPr>
              <w:lastRenderedPageBreak/>
              <w:t>могут быть чувствительны к фторхинолонам последних генераций (#левофлоксацину**, #моксифлоксацину**)</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Кратность применения и суточные дозы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Противотуберкулезные и антибактериальные препараты системного действия назначают с учетом массы тела и коррекцией дозировок по мере ее увеличения. Суточные дозы ПТП - изониазида**, рифампицина**, #рифапентина, #этамбутола**, канамицина**, #амикацина**, #капреомицина**, #левофлоксацина**, #моксифлоксацина**, - назначаются в один прием, что создает высокий пик концентрации препаратов в сыворотке крови. Суточная доза пиразинамида** может делиться на три приема при плохой переносимости препарата, однако, однократный прием является предпочтительным. </w:t>
      </w:r>
      <w:proofErr w:type="gramStart"/>
      <w:r w:rsidRPr="00C44A1E">
        <w:rPr>
          <w:rFonts w:ascii="Times New Roman" w:hAnsi="Times New Roman" w:cs="Times New Roman"/>
          <w:sz w:val="24"/>
          <w:szCs w:val="24"/>
        </w:rPr>
        <w:t>Суточные дозы протионамида**, этионамида**, циклосерина**, #теризидона**, аминосалициловой кислоты** и других препаратов могут делиться на два-три приема в зависимости от индивидуальной переносимости препаратов, на амбулаторном лечении предпочтительным является однократный прием всей суточной дозы (способ применения, доза препаратов #рифапентин, #этамбутол**, #амикацин**, #капреомицин**, #левофлоксацин**, #моксифлоксацин**, #теризидон**, длительность применения у детей см. в Приложении А3, таблица 9).</w:t>
      </w:r>
      <w:proofErr w:type="gramEnd"/>
    </w:p>
    <w:p w:rsidR="00414991" w:rsidRPr="00C44A1E" w:rsidRDefault="00414991">
      <w:pPr>
        <w:spacing w:after="1" w:line="220" w:lineRule="atLeast"/>
        <w:jc w:val="both"/>
        <w:rPr>
          <w:rFonts w:ascii="Times New Roman" w:hAnsi="Times New Roman" w:cs="Times New Roman"/>
          <w:sz w:val="24"/>
          <w:szCs w:val="24"/>
        </w:rPr>
      </w:pPr>
    </w:p>
    <w:p w:rsidR="00CE1395" w:rsidRPr="00CE1395" w:rsidRDefault="00CE1395" w:rsidP="00CE1395">
      <w:pPr>
        <w:shd w:val="clear" w:color="auto" w:fill="DBE5F1" w:themeFill="accent1" w:themeFillTint="33"/>
        <w:spacing w:after="1"/>
        <w:rPr>
          <w:rFonts w:ascii="Times New Roman" w:hAnsi="Times New Roman" w:cs="Times New Roman"/>
          <w:b/>
          <w:i/>
          <w:sz w:val="24"/>
          <w:szCs w:val="24"/>
        </w:rPr>
      </w:pPr>
      <w:r w:rsidRPr="00CE1395">
        <w:rPr>
          <w:rFonts w:ascii="Times New Roman" w:hAnsi="Times New Roman" w:cs="Times New Roman"/>
          <w:b/>
          <w:i/>
          <w:sz w:val="24"/>
          <w:szCs w:val="24"/>
        </w:rPr>
        <w:t>Нумерация подпунктов соо</w:t>
      </w:r>
      <w:r>
        <w:rPr>
          <w:rFonts w:ascii="Times New Roman" w:hAnsi="Times New Roman" w:cs="Times New Roman"/>
          <w:b/>
          <w:i/>
          <w:sz w:val="24"/>
          <w:szCs w:val="24"/>
        </w:rPr>
        <w:t xml:space="preserve">тветствует </w:t>
      </w:r>
      <w:r w:rsidRPr="00CE1395">
        <w:rPr>
          <w:rFonts w:ascii="Times New Roman" w:hAnsi="Times New Roman" w:cs="Times New Roman"/>
          <w:b/>
          <w:i/>
          <w:sz w:val="24"/>
          <w:szCs w:val="24"/>
        </w:rPr>
        <w:t>официальному тексту документа</w:t>
      </w:r>
    </w:p>
    <w:p w:rsidR="00414991" w:rsidRPr="00C44A1E" w:rsidRDefault="00414991">
      <w:pPr>
        <w:spacing w:before="28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6. Режимы химиотерапии туберкулеза у детей.</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4705"/>
        <w:gridCol w:w="2438"/>
      </w:tblGrid>
      <w:tr w:rsidR="00FC36A5" w:rsidRPr="00C44A1E">
        <w:tc>
          <w:tcPr>
            <w:tcW w:w="192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Режим</w:t>
            </w:r>
          </w:p>
        </w:tc>
        <w:tc>
          <w:tcPr>
            <w:tcW w:w="7143" w:type="dxa"/>
            <w:gridSpan w:val="2"/>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Фазы курса химиотерапии</w:t>
            </w:r>
          </w:p>
        </w:tc>
      </w:tr>
      <w:tr w:rsidR="00FC36A5" w:rsidRPr="00C44A1E">
        <w:tc>
          <w:tcPr>
            <w:tcW w:w="1928" w:type="dxa"/>
          </w:tcPr>
          <w:p w:rsidR="00414991" w:rsidRPr="00C44A1E" w:rsidRDefault="00414991">
            <w:pPr>
              <w:spacing w:after="1" w:line="220" w:lineRule="atLeast"/>
              <w:rPr>
                <w:rFonts w:ascii="Times New Roman" w:hAnsi="Times New Roman" w:cs="Times New Roman"/>
                <w:sz w:val="24"/>
                <w:szCs w:val="24"/>
              </w:rPr>
            </w:pPr>
          </w:p>
        </w:tc>
        <w:tc>
          <w:tcPr>
            <w:tcW w:w="4705"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Интенсивная</w:t>
            </w:r>
          </w:p>
        </w:tc>
        <w:tc>
          <w:tcPr>
            <w:tcW w:w="243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Фаза продолжения</w:t>
            </w:r>
          </w:p>
        </w:tc>
      </w:tr>
      <w:tr w:rsidR="00FC36A5" w:rsidRPr="00C44A1E">
        <w:tc>
          <w:tcPr>
            <w:tcW w:w="1928"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Лекарственно-чувствительного туберкулеза</w:t>
            </w:r>
          </w:p>
        </w:tc>
        <w:tc>
          <w:tcPr>
            <w:tcW w:w="4705"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2 - 3 HR/ZE</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 HRZE</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 HRZ</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2438" w:type="dxa"/>
            <w:tcBorders>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 HR</w:t>
            </w:r>
          </w:p>
        </w:tc>
      </w:tr>
      <w:tr w:rsidR="00FC36A5" w:rsidRPr="00C44A1E">
        <w:tc>
          <w:tcPr>
            <w:tcW w:w="1928" w:type="dxa"/>
            <w:vMerge/>
          </w:tcPr>
          <w:p w:rsidR="00414991" w:rsidRPr="00C44A1E" w:rsidRDefault="00414991">
            <w:pPr>
              <w:rPr>
                <w:rFonts w:ascii="Times New Roman" w:hAnsi="Times New Roman" w:cs="Times New Roman"/>
                <w:sz w:val="24"/>
                <w:szCs w:val="24"/>
              </w:rPr>
            </w:pPr>
          </w:p>
        </w:tc>
        <w:tc>
          <w:tcPr>
            <w:tcW w:w="4705" w:type="dxa"/>
            <w:vMerge/>
          </w:tcPr>
          <w:p w:rsidR="00414991" w:rsidRPr="00C44A1E" w:rsidRDefault="00414991">
            <w:pPr>
              <w:rPr>
                <w:rFonts w:ascii="Times New Roman" w:hAnsi="Times New Roman" w:cs="Times New Roman"/>
                <w:sz w:val="24"/>
                <w:szCs w:val="24"/>
              </w:rPr>
            </w:pPr>
          </w:p>
        </w:tc>
        <w:tc>
          <w:tcPr>
            <w:tcW w:w="2438" w:type="dxa"/>
            <w:tcBorders>
              <w:top w:val="nil"/>
            </w:tcBorders>
          </w:tcPr>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4 HR Z [E]</w:t>
            </w:r>
          </w:p>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4 HR/P</w:t>
            </w:r>
          </w:p>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5 HR/PZ [E]</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9 HR [Z]</w:t>
            </w:r>
          </w:p>
        </w:tc>
      </w:tr>
      <w:tr w:rsidR="00FC36A5" w:rsidRPr="00C44A1E">
        <w:tc>
          <w:tcPr>
            <w:tcW w:w="1928"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Изониазид-резистентного туберкулеза</w:t>
            </w:r>
          </w:p>
        </w:tc>
        <w:tc>
          <w:tcPr>
            <w:tcW w:w="7143" w:type="dxa"/>
            <w:gridSpan w:val="2"/>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 R/Rb E Z Lfx</w:t>
            </w:r>
          </w:p>
        </w:tc>
      </w:tr>
      <w:tr w:rsidR="00FC36A5" w:rsidRPr="00CE1395">
        <w:tc>
          <w:tcPr>
            <w:tcW w:w="1928" w:type="dxa"/>
            <w:vMerge/>
          </w:tcPr>
          <w:p w:rsidR="00414991" w:rsidRPr="00C44A1E" w:rsidRDefault="00414991">
            <w:pPr>
              <w:rPr>
                <w:rFonts w:ascii="Times New Roman" w:hAnsi="Times New Roman" w:cs="Times New Roman"/>
                <w:sz w:val="24"/>
                <w:szCs w:val="24"/>
              </w:rPr>
            </w:pPr>
          </w:p>
        </w:tc>
        <w:tc>
          <w:tcPr>
            <w:tcW w:w="4705" w:type="dxa"/>
          </w:tcPr>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4 R/Rb E Z Am [Pto/Eto] [PAS]</w:t>
            </w:r>
          </w:p>
        </w:tc>
        <w:tc>
          <w:tcPr>
            <w:tcW w:w="2438" w:type="dxa"/>
          </w:tcPr>
          <w:p w:rsidR="00414991" w:rsidRPr="00C44A1E" w:rsidRDefault="00414991">
            <w:pPr>
              <w:spacing w:after="1" w:line="220" w:lineRule="atLeast"/>
              <w:jc w:val="both"/>
              <w:rPr>
                <w:rFonts w:ascii="Times New Roman" w:hAnsi="Times New Roman" w:cs="Times New Roman"/>
                <w:sz w:val="24"/>
                <w:szCs w:val="24"/>
                <w:lang w:val="en-US"/>
              </w:rPr>
            </w:pPr>
            <w:r w:rsidRPr="00C44A1E">
              <w:rPr>
                <w:rFonts w:ascii="Times New Roman" w:hAnsi="Times New Roman" w:cs="Times New Roman"/>
                <w:sz w:val="24"/>
                <w:szCs w:val="24"/>
                <w:lang w:val="en-US"/>
              </w:rPr>
              <w:t>5 R/Rb E Z [Pto/Eto] [PAS]</w:t>
            </w:r>
          </w:p>
        </w:tc>
      </w:tr>
      <w:tr w:rsidR="00FC36A5" w:rsidRPr="00C44A1E">
        <w:tc>
          <w:tcPr>
            <w:tcW w:w="1928"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МЛУ-туберкулеза</w:t>
            </w:r>
          </w:p>
        </w:tc>
        <w:tc>
          <w:tcPr>
            <w:tcW w:w="47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4 - 6 Bq Lzd Cs/Trd Lfx/Mfx + 1 препарат [Z] [E] [Pto/Eto] [Cm/Km/Am] [PAS]</w:t>
            </w:r>
          </w:p>
        </w:tc>
        <w:tc>
          <w:tcPr>
            <w:tcW w:w="243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5 - 12 Lzd Cs/Trd Lfx/Mfx + 1 препарат [Z] [E] [Pto/Eto] [PAS]</w:t>
            </w:r>
          </w:p>
        </w:tc>
      </w:tr>
      <w:tr w:rsidR="00FC36A5" w:rsidRPr="00C44A1E">
        <w:tc>
          <w:tcPr>
            <w:tcW w:w="1928" w:type="dxa"/>
            <w:vMerge/>
          </w:tcPr>
          <w:p w:rsidR="00414991" w:rsidRPr="00C44A1E" w:rsidRDefault="00414991">
            <w:pPr>
              <w:rPr>
                <w:rFonts w:ascii="Times New Roman" w:hAnsi="Times New Roman" w:cs="Times New Roman"/>
                <w:sz w:val="24"/>
                <w:szCs w:val="24"/>
              </w:rPr>
            </w:pPr>
          </w:p>
        </w:tc>
        <w:tc>
          <w:tcPr>
            <w:tcW w:w="7143" w:type="dxa"/>
            <w:gridSpan w:val="2"/>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6BqPaLzdMfx</w:t>
            </w:r>
          </w:p>
        </w:tc>
      </w:tr>
      <w:tr w:rsidR="00FC36A5" w:rsidRPr="00C44A1E">
        <w:tc>
          <w:tcPr>
            <w:tcW w:w="1928" w:type="dxa"/>
            <w:vMerge/>
          </w:tcPr>
          <w:p w:rsidR="00414991" w:rsidRPr="00C44A1E" w:rsidRDefault="00414991">
            <w:pPr>
              <w:rPr>
                <w:rFonts w:ascii="Times New Roman" w:hAnsi="Times New Roman" w:cs="Times New Roman"/>
                <w:sz w:val="24"/>
                <w:szCs w:val="24"/>
              </w:rPr>
            </w:pPr>
          </w:p>
        </w:tc>
        <w:tc>
          <w:tcPr>
            <w:tcW w:w="7143" w:type="dxa"/>
            <w:gridSpan w:val="2"/>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6BqLzdLfxDlm</w:t>
            </w:r>
          </w:p>
        </w:tc>
      </w:tr>
      <w:tr w:rsidR="00FC36A5" w:rsidRPr="00C44A1E">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Пре-ШЛУ туберкулеза</w:t>
            </w:r>
          </w:p>
        </w:tc>
        <w:tc>
          <w:tcPr>
            <w:tcW w:w="47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4 - 6 Bq Lzd Cs/Trd + 1 - 2 препарата [Z] [E] [Pto/Eto] [Cm/Km/Am] [Dlm] [PAS] [Cfz] [Lfx/Mfx] &lt;*&gt;</w:t>
            </w:r>
          </w:p>
        </w:tc>
        <w:tc>
          <w:tcPr>
            <w:tcW w:w="243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5 - 12 Lzd Cs/Trd + 2 препарата [Z] [E] [Pto/Eto] [PAS] [Lfx/Mfx] &lt;*&gt;</w:t>
            </w:r>
          </w:p>
        </w:tc>
      </w:tr>
      <w:tr w:rsidR="00414991" w:rsidRPr="00C44A1E">
        <w:tc>
          <w:tcPr>
            <w:tcW w:w="192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ШЛУ-туберкулеза</w:t>
            </w:r>
          </w:p>
        </w:tc>
        <w:tc>
          <w:tcPr>
            <w:tcW w:w="47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6 - 8 Bq/Lzd Cs/Trd Dlm + 2 - 3 препарата [Z] [E] [Cm/Km/Am] [Imp/Mp] [Pto/Eto] [Cfz] [Lfx/Mfx] &lt;*&gt; [PAS]</w:t>
            </w:r>
          </w:p>
        </w:tc>
        <w:tc>
          <w:tcPr>
            <w:tcW w:w="243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12 Bq/Lzd Cs/Trd + 2 - 3 препарата [Z] [E] [Pto/Eto] [Lfx/Mfx] &lt;*&gt; [PAS]</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32" w:name="P1786"/>
      <w:bookmarkEnd w:id="132"/>
      <w:r w:rsidRPr="00C44A1E">
        <w:rPr>
          <w:rFonts w:ascii="Times New Roman" w:hAnsi="Times New Roman" w:cs="Times New Roman"/>
          <w:sz w:val="24"/>
          <w:szCs w:val="24"/>
        </w:rPr>
        <w:t xml:space="preserve">&lt;*&gt; Lfx/Mfx назначается при доказанном сохранении чувствительности к </w:t>
      </w:r>
      <w:proofErr w:type="gramStart"/>
      <w:r w:rsidRPr="00C44A1E">
        <w:rPr>
          <w:rFonts w:ascii="Times New Roman" w:hAnsi="Times New Roman" w:cs="Times New Roman"/>
          <w:sz w:val="24"/>
          <w:szCs w:val="24"/>
        </w:rPr>
        <w:t>конкретному</w:t>
      </w:r>
      <w:proofErr w:type="gramEnd"/>
      <w:r w:rsidRPr="00C44A1E">
        <w:rPr>
          <w:rFonts w:ascii="Times New Roman" w:hAnsi="Times New Roman" w:cs="Times New Roman"/>
          <w:sz w:val="24"/>
          <w:szCs w:val="24"/>
        </w:rPr>
        <w:t xml:space="preserve"> фторхинолону.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H - изониазид**, R - рифампицин**, P - #рифапентин, Z - пиразинамид**, E - #этамбутол**, S - стрептомицин**, Km - канамицин**, Am - #амикацин**, Cm - #капреомицин**, Lfx - #левофлоксацин**, Mfx - #моксифлоксацин**, Pto - протионамид**, Eto - этионамид**, Bq - #бедаквилин**, Lzd - #линезолид**, Dlm - #деламанид**, Imp - #имипенем + [Циластатин]**, Mp - #меропенем**, Cs - циклосерин**, Trd - #теризидон**, Cfz - #клофазимин, PAS - аминосалициловая кислота**, Pa - #претоманид.</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133" w:name="P1789"/>
      <w:bookmarkEnd w:id="133"/>
      <w:r w:rsidRPr="00C44A1E">
        <w:rPr>
          <w:rFonts w:ascii="Times New Roman" w:hAnsi="Times New Roman" w:cs="Times New Roman"/>
          <w:sz w:val="24"/>
          <w:szCs w:val="24"/>
        </w:rPr>
        <w:t>Таблица 7. Наиболее распространенные нежелательные реакции, возникающие при приеме ПТП для лечения МЛУ ТБ</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rPr>
          <w:rFonts w:ascii="Times New Roman" w:hAnsi="Times New Roman" w:cs="Times New Roman"/>
          <w:sz w:val="24"/>
          <w:szCs w:val="24"/>
        </w:rPr>
        <w:sectPr w:rsidR="00414991" w:rsidRPr="00C44A1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041"/>
        <w:gridCol w:w="2608"/>
        <w:gridCol w:w="4252"/>
        <w:gridCol w:w="3005"/>
      </w:tblGrid>
      <w:tr w:rsidR="00FC36A5" w:rsidRPr="00C44A1E">
        <w:tc>
          <w:tcPr>
            <w:tcW w:w="175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lastRenderedPageBreak/>
              <w:t>Лекарственный препарат</w:t>
            </w:r>
          </w:p>
        </w:tc>
        <w:tc>
          <w:tcPr>
            <w:tcW w:w="204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Наиболее частая неблагоприятная побочная реакция</w:t>
            </w:r>
          </w:p>
        </w:tc>
        <w:tc>
          <w:tcPr>
            <w:tcW w:w="260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Клинические исследования, применяемые в целях слежения за состоянием пациентов</w:t>
            </w:r>
          </w:p>
        </w:tc>
        <w:tc>
          <w:tcPr>
            <w:tcW w:w="4252"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Лабораторные и инструментальные исследования, применяемые в целях слежения за состоянием пациентов</w:t>
            </w:r>
          </w:p>
        </w:tc>
        <w:tc>
          <w:tcPr>
            <w:tcW w:w="3005"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Методы предотвращения неблагоприятной побочной реакции</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Канамицин** (Km), #амикацин** (Am)</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Ототоксичность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Вестибуло-токсичность</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шум в ушах, снижение слуха на фоне лечения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головокружение, неустойчивость, тошноту, рвоту, выявление нистагма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речевая аудиометрия ежемесячно</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назначения с диуретиками, НПВП, без учета функции почек и веса</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Нефротоксичность</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симптомов олигурии, жажды, отеков, сонливости, тошноты</w:t>
            </w:r>
          </w:p>
        </w:tc>
        <w:tc>
          <w:tcPr>
            <w:tcW w:w="4252"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Общий (клинический) анализ мочи (определение объема мочи; определение удельного веса (относительной плотности) мочи; визуальное исследование мочи; определение белка в моче; обнаружение желчных пигментов в моче; исследование уровня глюкозы в моче; определение осмолярности мочи; обнаружение эритроцитов (гемоглобина) в моче;</w:t>
            </w:r>
            <w:proofErr w:type="gramEnd"/>
            <w:r w:rsidRPr="00C44A1E">
              <w:rPr>
                <w:rFonts w:ascii="Times New Roman" w:hAnsi="Times New Roman" w:cs="Times New Roman"/>
                <w:sz w:val="24"/>
                <w:szCs w:val="24"/>
              </w:rPr>
              <w:t xml:space="preserve"> </w:t>
            </w:r>
            <w:proofErr w:type="gramStart"/>
            <w:r w:rsidRPr="00C44A1E">
              <w:rPr>
                <w:rFonts w:ascii="Times New Roman" w:hAnsi="Times New Roman" w:cs="Times New Roman"/>
                <w:sz w:val="24"/>
                <w:szCs w:val="24"/>
              </w:rPr>
              <w:t xml:space="preserve">микроскопическое исследование осадка мочи) ежемесячно исследование уровня креатинина в крови и исследование уровня мочевины в крови, расчет клиренса креатинина, исследование уровня калия в крови, исследование уровня общего магния в сыворотке </w:t>
            </w:r>
            <w:r w:rsidRPr="00C44A1E">
              <w:rPr>
                <w:rFonts w:ascii="Times New Roman" w:hAnsi="Times New Roman" w:cs="Times New Roman"/>
                <w:sz w:val="24"/>
                <w:szCs w:val="24"/>
              </w:rPr>
              <w:lastRenderedPageBreak/>
              <w:t>крови, исследование уровня натрия в крови, исследование уровня общего кальция ежемесячно; у пациентов группы риска (с хронической болезнью почек, ВИЧ-инфекцией, сахарным диабетом) - 2 раза в месяц</w:t>
            </w:r>
            <w:proofErr w:type="gramEnd"/>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Питьевой режим (не менее 1,5 л жидкости в сутки при отсутствии противопоказаний)</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назначения с диуретиками, НПВП, без учета функции почек и веса</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#Левофлоксацин** (Lfx), #моксифлоксацин** (Mfx)</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Удлинение интервала QTc. Нарушение ритма сердца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симптомов аритмии, выявление эпизодов резкой слабости, головокружения, сердцебиения, пресинкопальных и синкопальных состояний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Мониторирование электрокардиографических (ЭКГ) данных (интервал QTc) еженедельно в первый месяц лечения, затем не реже одного раза в месяц. При одновременном назначении трех и более кардиотоксических препаратов мониторирование электрокардиографических (ЭКГ) данных следует проводить каждые 5 дней в течение месяца, затем 2 раза в месяц. Контроль исследования уровня калия в крови, исследование уровня общего магния в сыворотке крови, исследование уровня общего кальция в крови ежемесячно и при появлении удлинения QTc (еженедельно при исходном удлинении).</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приема с препаратами, удлиняющими интервал QTc при мониторировании электрокардиографических данных (ЭКГ)</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Артралгия, тендинит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боли в суставах, симптомов отека и гиперемии в области сухожилий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приема с преднизолоном**</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частоты и характера стула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Внеплановое исследование уровня натрия в крови, исследование уровня </w:t>
            </w:r>
            <w:r w:rsidRPr="00C44A1E">
              <w:rPr>
                <w:rFonts w:ascii="Times New Roman" w:hAnsi="Times New Roman" w:cs="Times New Roman"/>
                <w:sz w:val="24"/>
                <w:szCs w:val="24"/>
              </w:rPr>
              <w:lastRenderedPageBreak/>
              <w:t>калия в крови, исследование уровня хлоридов в крови, исследование уровня общего магния в сыворотке крови при частой диарее, у ослабленных пациентов</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Внеплановый контроль общего (клинического) анализа крови, исследование уровня креатинина в крови и Исследование уровня альбумина в крови, иммунохроматографическое экспресс-исследование кала на токсины A и B клостридии (Clostridium difficile) при водянистой диарее 4 раза в сутки и более, повышении температуры тела, подозрении на псевдомембранозный колит</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Избегать длительного приема препаратов для </w:t>
            </w:r>
            <w:r w:rsidRPr="00C44A1E">
              <w:rPr>
                <w:rFonts w:ascii="Times New Roman" w:hAnsi="Times New Roman" w:cs="Times New Roman"/>
                <w:sz w:val="24"/>
                <w:szCs w:val="24"/>
              </w:rPr>
              <w:lastRenderedPageBreak/>
              <w:t>лечения заболеваний связанных с нарушением кислотности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Противодиарейные микроорганизмы</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Фотосенсибилизация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состояния кожных покровов, выявление гиперемии и зуда открытых участков кожи</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Исключить длительное пребывание на солнце, в солнечные дни применять защитный косметический крем (SPF 30 - 50)</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углеводного обмена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симптомов дисгликемии (повышение/резкое снижение аппетита, гипергидроз, дрожь, нервозность, спутанность сознания)</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глюкозы в крови не реже 1 раза в месяц, у пациентов с сахарным диабетом не реже 1 раза в неделю</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нарушений при их выявлении</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Нейротоксические </w:t>
            </w:r>
            <w:r w:rsidRPr="00C44A1E">
              <w:rPr>
                <w:rFonts w:ascii="Times New Roman" w:hAnsi="Times New Roman" w:cs="Times New Roman"/>
                <w:sz w:val="24"/>
                <w:szCs w:val="24"/>
              </w:rPr>
              <w:lastRenderedPageBreak/>
              <w:t>реакции</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Оценка жалоб на </w:t>
            </w:r>
            <w:r w:rsidRPr="00C44A1E">
              <w:rPr>
                <w:rFonts w:ascii="Times New Roman" w:hAnsi="Times New Roman" w:cs="Times New Roman"/>
                <w:sz w:val="24"/>
                <w:szCs w:val="24"/>
              </w:rPr>
              <w:lastRenderedPageBreak/>
              <w:t>головную боль, головокружение, слабость, нарушения сна, возбуждение, парестезии, судороги</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При выявлении клинических симптомов прием (осмотр, консультация) врача-невролога первичный</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Коррекция дозы </w:t>
            </w:r>
            <w:r w:rsidRPr="00C44A1E">
              <w:rPr>
                <w:rFonts w:ascii="Times New Roman" w:hAnsi="Times New Roman" w:cs="Times New Roman"/>
                <w:sz w:val="24"/>
                <w:szCs w:val="24"/>
              </w:rPr>
              <w:lastRenderedPageBreak/>
              <w:t>левофлоксацина**, с учетом функции почек</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применения с НПВП, с патологией нервной системы, судорожным синдромом в анамнезе</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Пиразинамид**/#Пиразинамид** (Z)</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Гиперурикемия, артралгии</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боли в суставах, симптомов артрита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мочевой кислоты в крови не реже 1 раза в месяц, при хронической болезни почек - 1 раз в 2 недели в течение первого месяца интенсивной фазы, далее не реже 1 раза в месяц.</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Внеплановый</w:t>
            </w:r>
            <w:proofErr w:type="gramEnd"/>
            <w:r w:rsidRPr="00C44A1E">
              <w:rPr>
                <w:rFonts w:ascii="Times New Roman" w:hAnsi="Times New Roman" w:cs="Times New Roman"/>
                <w:sz w:val="24"/>
                <w:szCs w:val="24"/>
              </w:rPr>
              <w:t xml:space="preserve"> исследование уровня мочевой кислоты в крови при появлении клинических симптомов (артралгий, артрита)</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не менее 1,5 л жидкости в сутки (желательно употребление слабощелочного питья - минеральной воды, слабого содового раствора при отсутствии противопоказаний); диета (избегать белковых перегрузок)</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Оценка жалоб на тошноту, рвоту, потерю аппетита, слабость, темную мочу, светлый стул, боли в правом подреберье, зуд, симптомов желтухи</w:t>
            </w:r>
            <w:proofErr w:type="gramEnd"/>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Определение активности аланинаминотрансферазы в крови, определение активности аспартатаминотрансферазы в крови, исследование уровня общего билирубина в крови раз в 2 недели в течение первых двух месяцев интенсивной фазы лечения, далее ежемесячно, в фазе продолжения - 1 раз в 3 месяца; внеплановый контроль при появлении клинических симптомов.</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назначения пациентам с хронической патологией печени.</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Гепатопротекторы (препараты для лечения заболеваний печени и желчевыводящих путей, при наличии факторов риска гепатита.</w:t>
            </w:r>
            <w:proofErr w:type="gramEnd"/>
          </w:p>
        </w:tc>
      </w:tr>
      <w:tr w:rsidR="00FC36A5" w:rsidRPr="00C44A1E">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Этамбутол**-/#Этамбутол** </w:t>
            </w:r>
            <w:r w:rsidRPr="00C44A1E">
              <w:rPr>
                <w:rFonts w:ascii="Times New Roman" w:hAnsi="Times New Roman" w:cs="Times New Roman"/>
                <w:sz w:val="24"/>
                <w:szCs w:val="24"/>
              </w:rPr>
              <w:lastRenderedPageBreak/>
              <w:t>(E)</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Неврит зрительного нерва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Оценка жалоб на снижение зрения, </w:t>
            </w:r>
            <w:r w:rsidRPr="00C44A1E">
              <w:rPr>
                <w:rFonts w:ascii="Times New Roman" w:hAnsi="Times New Roman" w:cs="Times New Roman"/>
                <w:sz w:val="24"/>
                <w:szCs w:val="24"/>
              </w:rPr>
              <w:lastRenderedPageBreak/>
              <w:t>появление скотом и сужение полей зрения, болезненность при движении глаза, нарушение цветоощущения</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Прием (осмотр, консультация) врача-офтальмолога первичный с оценкой </w:t>
            </w:r>
            <w:r w:rsidRPr="00C44A1E">
              <w:rPr>
                <w:rFonts w:ascii="Times New Roman" w:hAnsi="Times New Roman" w:cs="Times New Roman"/>
                <w:sz w:val="24"/>
                <w:szCs w:val="24"/>
              </w:rPr>
              <w:lastRenderedPageBreak/>
              <w:t>состояния глазного дна ежемесячно</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Коррекция дефицита питания, гиповитаминоза, </w:t>
            </w:r>
            <w:r w:rsidRPr="00C44A1E">
              <w:rPr>
                <w:rFonts w:ascii="Times New Roman" w:hAnsi="Times New Roman" w:cs="Times New Roman"/>
                <w:sz w:val="24"/>
                <w:szCs w:val="24"/>
              </w:rPr>
              <w:lastRenderedPageBreak/>
              <w:t>коррекция дозы препарата с учетом функции почек, тщательный контроль гликемии у пациентов с сахарным диабетом</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Циклосерин**/#Циклосерин** (Cs), Теризидон**/#Теризидон** (Trd)</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Периферическая нейропатия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чувство жжения и покалывания, онемение, слабость и боль в ногах; оценка вибрационной чувствительности и сухожильных рефлексов</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При появлении клинических симптомов - исследование уровня креатинина в крови,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исследование уровня глюкозы в крови, исследование уровня тиреотропного гормона (ТТГ) в крови (по показаниям) в крови, прием (осмотр, консультация) врача-невролога</w:t>
            </w:r>
            <w:proofErr w:type="gramEnd"/>
          </w:p>
        </w:tc>
        <w:tc>
          <w:tcPr>
            <w:tcW w:w="3005"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дозы с учетом веса и функции почек</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приема с #имипенемом +[циластатин]**</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Психоз</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Выявление бреда, галлюцинаций, резкого нарушения поведения пациента. При появлении симптомов - прием (осмотр, консультация) врача-психиатра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симптомов - внеплановое исследование уровня креатинина в крови и исследование уровня глюкозы в крови; по показаниям - исследование уровня этанола, метанола в моче, определение психоактивных веществ в моче</w:t>
            </w:r>
          </w:p>
        </w:tc>
        <w:tc>
          <w:tcPr>
            <w:tcW w:w="3005" w:type="dxa"/>
            <w:vMerge/>
          </w:tcPr>
          <w:p w:rsidR="00414991" w:rsidRPr="00C44A1E" w:rsidRDefault="00414991">
            <w:pPr>
              <w:rPr>
                <w:rFonts w:ascii="Times New Roman" w:hAnsi="Times New Roman" w:cs="Times New Roman"/>
                <w:sz w:val="24"/>
                <w:szCs w:val="24"/>
              </w:rPr>
            </w:pP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Судороги</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Оценка симптомов судорог с потерей </w:t>
            </w:r>
            <w:r w:rsidRPr="00C44A1E">
              <w:rPr>
                <w:rFonts w:ascii="Times New Roman" w:hAnsi="Times New Roman" w:cs="Times New Roman"/>
                <w:sz w:val="24"/>
                <w:szCs w:val="24"/>
              </w:rPr>
              <w:lastRenderedPageBreak/>
              <w:t>сознания или без таковой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При появлении симптомов - </w:t>
            </w:r>
            <w:r w:rsidRPr="00C44A1E">
              <w:rPr>
                <w:rFonts w:ascii="Times New Roman" w:hAnsi="Times New Roman" w:cs="Times New Roman"/>
                <w:sz w:val="24"/>
                <w:szCs w:val="24"/>
              </w:rPr>
              <w:lastRenderedPageBreak/>
              <w:t>внеплановое исследование уровня креатинина в крови и исследование уровня глюкозы в крови, прием (осмотр, консультация) врача-невролога, электроэнцефалография по показаниям</w:t>
            </w:r>
          </w:p>
        </w:tc>
        <w:tc>
          <w:tcPr>
            <w:tcW w:w="3005" w:type="dxa"/>
            <w:vMerge/>
          </w:tcPr>
          <w:p w:rsidR="00414991" w:rsidRPr="00C44A1E" w:rsidRDefault="00414991">
            <w:pPr>
              <w:rPr>
                <w:rFonts w:ascii="Times New Roman" w:hAnsi="Times New Roman" w:cs="Times New Roman"/>
                <w:sz w:val="24"/>
                <w:szCs w:val="24"/>
              </w:rPr>
            </w:pP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Депрессия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подавленное настроение, астению, потерю интереса, снижение психомоторных реакций, нарушение сна и аппетита в течение двух недель и более</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При появлении симптомов - исследование уровня тиреотропного гормона (ТТГ) в крови (по показаниям), прием (осмотр, консультация) медицинского психолога, врача-психиатра.</w:t>
            </w:r>
            <w:proofErr w:type="gramEnd"/>
          </w:p>
        </w:tc>
        <w:tc>
          <w:tcPr>
            <w:tcW w:w="3005" w:type="dxa"/>
            <w:vMerge/>
          </w:tcPr>
          <w:p w:rsidR="00414991" w:rsidRPr="00C44A1E" w:rsidRDefault="00414991">
            <w:pPr>
              <w:rPr>
                <w:rFonts w:ascii="Times New Roman" w:hAnsi="Times New Roman" w:cs="Times New Roman"/>
                <w:sz w:val="24"/>
                <w:szCs w:val="24"/>
              </w:rPr>
            </w:pP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Аминосалициловая кислота** (PAS)</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Гастрит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Выявление жалоб на тошноту и рвоту</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частоты и характера стула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жалоб на боли и дискомфорт в эпигастрии, метеоризм, отрыжку</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клинических симптомов - внеплановое 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 определение активности амилазы в крови;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(при частой рвоте, диарее);</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по показаниям - эзофагогастродуоденоскопию (ЭГДС), УЗИ органов брюшной полости (</w:t>
            </w:r>
            <w:proofErr w:type="gramStart"/>
            <w:r w:rsidRPr="00C44A1E">
              <w:rPr>
                <w:rFonts w:ascii="Times New Roman" w:hAnsi="Times New Roman" w:cs="Times New Roman"/>
                <w:sz w:val="24"/>
                <w:szCs w:val="24"/>
              </w:rPr>
              <w:t>комплексное</w:t>
            </w:r>
            <w:proofErr w:type="gramEnd"/>
            <w:r w:rsidRPr="00C44A1E">
              <w:rPr>
                <w:rFonts w:ascii="Times New Roman" w:hAnsi="Times New Roman" w:cs="Times New Roman"/>
                <w:sz w:val="24"/>
                <w:szCs w:val="24"/>
              </w:rPr>
              <w:t>)</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Использование гранулированных форм, назначение низкой стартовой дозы с постепенным наращиванием в течение 1 - 2 недель, прием через 1 час после приема других препаратов, с легким перекусом, на ночь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Лечение заболеваний ЖКТ</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Оценка жалоб на тошноту, рвоту, потерю аппетита, слабость, темную мочу, светлый стул, боли в правом подреберье, зуд, симптомов желтухи</w:t>
            </w:r>
            <w:proofErr w:type="gramEnd"/>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общего билирубина в крови, определение активности аланинаминотрансферазы в крови раз в 2 недели в течение первых двух месяцев интенсивной фазы лечения, далее ежемесячно, в фазе продолжения - 1 раз в 3 месяца; внеплановый контроль при появлении клинических симптомов</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назначения пациентам с тяжелой патологией печени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Гепатопротекторы (препараты для лечения заболеваний печени и желчевыводящих путей) при наличии заболевания печени и других факторов риска гепатита.</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Гипотиреоз</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усталость, слабость, запоры, потерю аппетита, сухость кожи, ломкость и выпадение волос, симптомов депрессии</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тиреотропного гормона (ТТГ) в крови каждые 6 месяцев</w:t>
            </w:r>
          </w:p>
        </w:tc>
        <w:tc>
          <w:tcPr>
            <w:tcW w:w="3005"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Протионамид**/#Протионамид** (Pto),</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Этионамид**/#Этионамид** (Eto)</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Гастрит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тошноту, рвоту, снижение аппетита, боли и дискомфорт в эпигастрии, метеоризм, отрыжку</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При появлении клинических симптомов - внеплановый контроль 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 определение активности </w:t>
            </w:r>
            <w:r w:rsidRPr="00C44A1E">
              <w:rPr>
                <w:rFonts w:ascii="Times New Roman" w:hAnsi="Times New Roman" w:cs="Times New Roman"/>
                <w:sz w:val="24"/>
                <w:szCs w:val="24"/>
              </w:rPr>
              <w:lastRenderedPageBreak/>
              <w:t>амилазы в крови,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(при частой рвоте), по показаниям - эзофагогастродуоденоскопия (ЭГДС)</w:t>
            </w:r>
            <w:proofErr w:type="gramEnd"/>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Дробный прием (тремя отдельными дозами), прием на ночь, с легким перекусом</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Лечение сопутствующих заболеваний ЖКТ</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Оценка жалоб на тошноту, рвоту, потерю аппетита, слабость, темную мочу, светлый стул, боли в правом подреберье, зуд, симптомов желтухи</w:t>
            </w:r>
            <w:proofErr w:type="gramEnd"/>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Определение активности аланинаминотрансферазы в крови, определение активности аспартатаминотрансферазы в крови, исследование уровня общего билирубина в крови раз в 2 недели в течение первых двух месяцев лечения, далее ежемесячно, в фазе продолжения - 1 раз в 3 месяца; внеплановый контроль при появлении клинических симптомов</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назначения пациентам с тяжелой патологией печени</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Гепатопротекторы (препараты для лечения заболеваний печени и желчевыводящих путей при наличии заболевания печени и других факторов риска гепатита.</w:t>
            </w:r>
            <w:proofErr w:type="gramEnd"/>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Гипотиреоз</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усталость, слабость, запоры, потерю аппетита, сухость кожи, ломкость и выпадение волос, симптомов депрессии</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тиреотропного гормона (ТТГ) в крови каждые 6 месяцев</w:t>
            </w:r>
          </w:p>
        </w:tc>
        <w:tc>
          <w:tcPr>
            <w:tcW w:w="3005"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#Бедаквилин** (Bq)</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тошноту, рвоту, снижение аппетита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требуется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При появлении клинических симптомов - внеплановый контроль активности аланинаминотрансферазы в крови, определение активности </w:t>
            </w:r>
            <w:r w:rsidRPr="00C44A1E">
              <w:rPr>
                <w:rFonts w:ascii="Times New Roman" w:hAnsi="Times New Roman" w:cs="Times New Roman"/>
                <w:sz w:val="24"/>
                <w:szCs w:val="24"/>
              </w:rPr>
              <w:lastRenderedPageBreak/>
              <w:t>аспартатаминотрансферазы в крови, исследование уровня креатинина в крови;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(при частой рвоте), по показаниям - эзофагогастродуоденоскопия (ЭГДС)</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Прием препарата во время еды, с легким перекусом или на ночь</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Артралгии</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боли в суставах</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tc>
        <w:tc>
          <w:tcPr>
            <w:tcW w:w="3005"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ритма сердца, удлинение интервала QT</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симптомов аритмии, жалоб на боли и дискомфорт в области сердца, эпизодов резкой слабости и головокружения, синкопальных состояний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Регистрация электрокардиограммы (ЭКГ) (интервал QTc) еженедельно в первый месяц лечения, затем не реже одного раза в месяц. При одновременном назначении трех и более кардиотоксических препаратов мониторирование электрокардиографических данных (ЭКГ) следует проводить каждые 5 дней в течение месяца, затем 2 раза в месяц. </w:t>
            </w:r>
            <w:proofErr w:type="gramStart"/>
            <w:r w:rsidRPr="00C44A1E">
              <w:rPr>
                <w:rFonts w:ascii="Times New Roman" w:hAnsi="Times New Roman" w:cs="Times New Roman"/>
                <w:sz w:val="24"/>
                <w:szCs w:val="24"/>
              </w:rPr>
              <w:t>Еженедельно до начала терапии #бедаквилином**) Исследование уровня калия в крови, исследование уровня общего магния в сыворотке крови ежемесячно и при появлении удлинения QTc (еженедельно при исходном удлинении)</w:t>
            </w:r>
            <w:proofErr w:type="gramEnd"/>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уровня электролитов.</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одновременного приема с препаратами, удлиняющими интервал QTc, у пациентов, с аритмией и обмороками в анамнезе, тяжелой ИБС, удлинением интервала QTc, сердечной недостаточностью, гипокалиемией, гипотиреозом</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Оценка жалоб на тошноту, рвоту, потерю </w:t>
            </w:r>
            <w:r w:rsidRPr="00C44A1E">
              <w:rPr>
                <w:rFonts w:ascii="Times New Roman" w:hAnsi="Times New Roman" w:cs="Times New Roman"/>
                <w:sz w:val="24"/>
                <w:szCs w:val="24"/>
              </w:rPr>
              <w:lastRenderedPageBreak/>
              <w:t>аппетита, слабость, темную мочу, светлый стул, боли в правом подреберье, зуд, симптомов желтухи</w:t>
            </w:r>
            <w:proofErr w:type="gramEnd"/>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Исследование уровня общего билирубина в крови, определение </w:t>
            </w:r>
            <w:r w:rsidRPr="00C44A1E">
              <w:rPr>
                <w:rFonts w:ascii="Times New Roman" w:hAnsi="Times New Roman" w:cs="Times New Roman"/>
                <w:sz w:val="24"/>
                <w:szCs w:val="24"/>
              </w:rPr>
              <w:lastRenderedPageBreak/>
              <w:t>активности аланинаминотрансферазы в крови, определение активности аспартатаминотрансферазы в крови раз в 2 недели в течение первых двух месяцев интенсивной фазы лечения, далее ежемесячно, в фазе продолжения - 1 раз в 3 месяца; внеплановый контроль при появлении клинических симптомов</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Избегать назначения пациентам с тяжелой </w:t>
            </w:r>
            <w:r w:rsidRPr="00C44A1E">
              <w:rPr>
                <w:rFonts w:ascii="Times New Roman" w:hAnsi="Times New Roman" w:cs="Times New Roman"/>
                <w:sz w:val="24"/>
                <w:szCs w:val="24"/>
              </w:rPr>
              <w:lastRenderedPageBreak/>
              <w:t>патологией печени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Гепатопротекторы (препараты для лечения заболеваний печени и желчевыводящих путей) при наличии заболевания печени и других факторов риска гепатита.</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Линезолид** (Lzd)</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Миелосупрессия (анемия, тромбоцитопения, лейкопения)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Выявление слабости, утомляемости, геморрагического синдрома, лихорадки</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Общий (клинический) анализ крови в интенсивной фазе лечения не реже 1 раза в месяц (еженедельно при миелосупрессии в анамнезе, одновременном приеме препаратов с миелосупрессивным эффектом), а в фазе продолжения - 1 раз в 3 месяца</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миелосупрессии в анамнезе, одновременном приеме других препаратов c миелосупрессивным действием - применять наиболее возможную низкую дозу #линезолида**</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Периферическая нейропатия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Выявление Оценка жалоб на чувство жжения и покалывания, онемение, слабость и боль в ногах, оценка вибрационной чувствительности и сухожильных рефлексов</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клинических симптомов -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исследование уровня глюкозы в крови, исследование уровня тиреотропного гормона (ТТГ) в крови (по показаниям), прием (осмотр, консультация) врача-невролога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При появлении клинических симптомов - контроль уровня </w:t>
            </w:r>
            <w:r w:rsidRPr="00C44A1E">
              <w:rPr>
                <w:rFonts w:ascii="Times New Roman" w:hAnsi="Times New Roman" w:cs="Times New Roman"/>
                <w:sz w:val="24"/>
                <w:szCs w:val="24"/>
              </w:rPr>
              <w:lastRenderedPageBreak/>
              <w:t>электролитов, глюкозы, ТТГ (по показаниям), прием (осмотр, консультация) врача-невролога</w:t>
            </w:r>
            <w:proofErr w:type="gramEnd"/>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Коррекция дефицита питания, гиповитаминоза</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Оптическая нейропатия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изменение остроты зрения, изменение цветового восприятия, дефекты полей зрения</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врача-офтальмолога первичный с целью оценки состояния глазного дна ежемесячно</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дефицита питания, гиповитаминоза; тщательный контроль гликемии у пациентов с сахарным диабетом</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Серотониновый синдром</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Выявление симптомов психического возбуждения, тремора, гиперрефлексии, непроизвольных сокращений мышц, атаксии, нистагма, диареи, ощущения жара (минимум 3 симптома)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приема продуктов с высоким содержанием тирамина, совместного приема #линезолида** с серотонинергическими препаратами (амитриптилин**, селективные ингибиторы обратного захвата серотонина)</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рвота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тошноту, рвоту</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клинических симптомов - внеплановый контроль 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 исследование уровня натрия в крови, исследование уровня калия в крови, исследование уровня хлоридов в крови, исследование уровня общего магния в </w:t>
            </w:r>
            <w:r w:rsidRPr="00C44A1E">
              <w:rPr>
                <w:rFonts w:ascii="Times New Roman" w:hAnsi="Times New Roman" w:cs="Times New Roman"/>
                <w:sz w:val="24"/>
                <w:szCs w:val="24"/>
              </w:rPr>
              <w:lastRenderedPageBreak/>
              <w:t>сыворотке крови, кислотно-щелочного состояния и определение активности лактатдегидрогеназы в крови (при повторной рвоте, риск лактат-ацидоза)</w:t>
            </w:r>
          </w:p>
        </w:tc>
        <w:tc>
          <w:tcPr>
            <w:tcW w:w="3005"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частоты и характера стула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Противодиарейные микроорганизмы</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#Деламанид**</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ритма сердца, удлинение интервала QT</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симптомов аритмии, жалоб на боли и дискомфорт в области сердца, эпизодов резкой слабости и головокружения, синкопальных состояний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Мониторирование электрокардиографических данных (ЭКГ) (интервал QTc) еженедельно в первый месяц лечения, затем не реже одного раза в месяц. При одновременном назначении трех и более кардиотоксических препаратов мониторирование электрокардиографических данных (ЭКГ) следует проводить каждые 5 дней в течение месяца, затем 2 раза в месяц. Контроль уровня калия и магния крови ежемесячно и при появлении удлинения QTc (еженедельно при исходном удлинении).</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совместного назначения более</w:t>
            </w:r>
            <w:proofErr w:type="gramStart"/>
            <w:r w:rsidRPr="00C44A1E">
              <w:rPr>
                <w:rFonts w:ascii="Times New Roman" w:hAnsi="Times New Roman" w:cs="Times New Roman"/>
                <w:sz w:val="24"/>
                <w:szCs w:val="24"/>
              </w:rPr>
              <w:t>,</w:t>
            </w:r>
            <w:proofErr w:type="gramEnd"/>
            <w:r w:rsidRPr="00C44A1E">
              <w:rPr>
                <w:rFonts w:ascii="Times New Roman" w:hAnsi="Times New Roman" w:cs="Times New Roman"/>
                <w:sz w:val="24"/>
                <w:szCs w:val="24"/>
              </w:rPr>
              <w:t xml:space="preserve"> чем с двумя препаратами, удлиняющими интервал QTc при мониторировании электрокардиографических данных (ЭКГ)</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Боли в верхних отделах живота, тошнота, рвота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клинических симптомов - внеплановое 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 исследование уровня натрия в крови, исследование уровня калия в крови, </w:t>
            </w:r>
            <w:r w:rsidRPr="00C44A1E">
              <w:rPr>
                <w:rFonts w:ascii="Times New Roman" w:hAnsi="Times New Roman" w:cs="Times New Roman"/>
                <w:sz w:val="24"/>
                <w:szCs w:val="24"/>
              </w:rPr>
              <w:lastRenderedPageBreak/>
              <w:t>исследование уровня хлоридов в крови, исследование уровня общего магния в сыворотке крови (при частой рвоте), по показаниям - эзофагогастродуоденоскопия (ЭГДС).</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Прием препарата во время еды</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Головная боль, головокружение</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головную боль, головокружение, неустойчивость, выявление нистагма, контроль артериального давления</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требуется. При появлении симптомов - внеплановый контроль уровня альбумина в крови, исследование уровня калия в крови, исследование уровня общего магния в сыворотке крови</w:t>
            </w:r>
          </w:p>
        </w:tc>
        <w:tc>
          <w:tcPr>
            <w:tcW w:w="3005"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Гипокалиемия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оценка симптомов аритмии</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калия в крови ежемесячно</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нарушений при их выявлении</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Гипоальбунемия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Связана</w:t>
            </w:r>
            <w:proofErr w:type="gramEnd"/>
            <w:r w:rsidRPr="00C44A1E">
              <w:rPr>
                <w:rFonts w:ascii="Times New Roman" w:hAnsi="Times New Roman" w:cs="Times New Roman"/>
                <w:sz w:val="24"/>
                <w:szCs w:val="24"/>
              </w:rPr>
              <w:t xml:space="preserve"> с повышенным риском продления интервала QTc</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альбумина в крови</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нарушений при их выявлении</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#Клофазимин (Cfz)</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ритма сердца, удлинение интервала QT</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симптомов аритмии, жалоб на боли и дискомфорт в области сердца, эпизодов резкой слабости и головокружения, синкопальных состояний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Мониторирование электрокардиографических данных (ЭКГ) (интервал QTc) еженедельно в первый месяц лечения, затем не реже одного раза в месяц. При одновременном назначении трех и более кардиотоксических препаратов мониторирование электрокардиографических данных (ЭКГ) следует проводить каждые 5 дней в течение месяца, затем 2 раза в </w:t>
            </w:r>
            <w:r w:rsidRPr="00C44A1E">
              <w:rPr>
                <w:rFonts w:ascii="Times New Roman" w:hAnsi="Times New Roman" w:cs="Times New Roman"/>
                <w:sz w:val="24"/>
                <w:szCs w:val="24"/>
              </w:rPr>
              <w:lastRenderedPageBreak/>
              <w:t>месяц. Контроль уровня калия и магния крови ежемесячно и при появлении удлинения QTc - еженедельно.</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Избегать совместного приема с препаратами, удлиняющими интервал QTc при мониторировании электрокардиографических данных (ЭКГ)</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Изменение цвета кожи и биологических жидкостей и другие кожные реакции</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требуется</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воздействия прямых солнечных лучей</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Претоманид**</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c>
          <w:tcPr>
            <w:tcW w:w="2608"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Оценка жалоб на тошноту, рвоту, потерю аппетита, слабость, темную мочу, светлый стул, боли в правом подреберье, зуд, симптомов желтухи</w:t>
            </w:r>
            <w:proofErr w:type="gramEnd"/>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общего билирубина в крови, определение активности аланинаминотрансферазы в крови, определение активности аспартатаминотрансферазы в крови раз в 2 недели в течение первых двух месяцев лечения, со второго по четвертый месяц - ежемесячно, далее - 1 раз в 3 месяца; внеплановый контроль при появлении клинических симптомов</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Избегать назначения пациентам с тяжелой патологией печени.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Гепатопротекторы (препараты для лечения заболеваний печени и желчевыводящих путей) при наличии заболевания печени и других факторов риска гепатита.</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Удлинение интервала QTc, нарушение ритма сердца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симптомов аритмии, выявление эпизодов резкой слабости, головокружения, сердцебиения, пресинкопальных и синкопальных состояний</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Мониторирование электрокардиографических данных (ЭКГ) (интервал QTc) ежемесячно</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Исследование уровня калия в крови, исследование уровня общего магния в сыворотке крови, исследование уровня общего кальция в крови ежемесячно и при удлинении интервала QTc, нарушениях реполяризации при мониторировании электрокардиографических данных </w:t>
            </w:r>
            <w:r w:rsidRPr="00C44A1E">
              <w:rPr>
                <w:rFonts w:ascii="Times New Roman" w:hAnsi="Times New Roman" w:cs="Times New Roman"/>
                <w:sz w:val="24"/>
                <w:szCs w:val="24"/>
              </w:rPr>
              <w:lastRenderedPageBreak/>
              <w:t>(ЭКГ)</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Избегать совместного назначения более чем с двумя препаратами, удлиняющими интервал QTc при мониторировании электрокардиографических данных (ЭКГ); своевременная коррекция электролитных нарушений.</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Избегать совместного назначения более чем с </w:t>
            </w:r>
            <w:r w:rsidRPr="00C44A1E">
              <w:rPr>
                <w:rFonts w:ascii="Times New Roman" w:hAnsi="Times New Roman" w:cs="Times New Roman"/>
                <w:sz w:val="24"/>
                <w:szCs w:val="24"/>
              </w:rPr>
              <w:lastRenderedPageBreak/>
              <w:t>двумя препаратами, удлиняющими интервал QTc при мониторировании электрокардиографических данных (ЭКГ); своевременная коррекция электролитных нарушений.</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#Амоксициллин + клавулановая кислота** (Amx)</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тошноту, рвоту, снижение аппетита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клинических симптомов - 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 определение активности амилазы в крови;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(при частой рвоте)</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препарата в начале еды</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дозы с учетом функции почек</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частоты и характера стула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Внеплановое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общий (клинический) анализ крови, исследование уровня креатинина в крови и исследование уровня альбумина в крови, </w:t>
            </w:r>
            <w:r w:rsidRPr="00C44A1E">
              <w:rPr>
                <w:rFonts w:ascii="Times New Roman" w:hAnsi="Times New Roman" w:cs="Times New Roman"/>
                <w:sz w:val="24"/>
                <w:szCs w:val="24"/>
              </w:rPr>
              <w:lastRenderedPageBreak/>
              <w:t>иммунохроматографическое экспресс-исследование кала на токсины A и B клостридии (Clostridium difficile) при водянистой диарее 4 раза в сутки и более, повышении температуры тела, подозрении на псевдомембранозный колит</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Избегать длительного приема препаратов для лечения заболеваний связанных с нарушением кислотности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Противодиарейные микроорганизмы</w:t>
            </w:r>
          </w:p>
        </w:tc>
      </w:tr>
      <w:tr w:rsidR="00FC36A5" w:rsidRPr="00C44A1E">
        <w:tc>
          <w:tcPr>
            <w:tcW w:w="1757"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#Имипенем + [циластатин]** (Imp), #меропенем** (Mp)</w:t>
            </w: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Оценка жалоб на тошноту, рвоту, снижение аппетита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клинических симптомов - 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(при частой рвоте)</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препарата в начале еды</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дозы с учетом функции почек</w:t>
            </w:r>
          </w:p>
        </w:tc>
      </w:tr>
      <w:tr w:rsidR="00FC36A5" w:rsidRPr="00C44A1E">
        <w:tc>
          <w:tcPr>
            <w:tcW w:w="1757" w:type="dxa"/>
            <w:vMerge/>
          </w:tcPr>
          <w:p w:rsidR="00414991" w:rsidRPr="00C44A1E" w:rsidRDefault="00414991">
            <w:pPr>
              <w:rPr>
                <w:rFonts w:ascii="Times New Roman" w:hAnsi="Times New Roman" w:cs="Times New Roman"/>
                <w:sz w:val="24"/>
                <w:szCs w:val="24"/>
              </w:rPr>
            </w:pPr>
          </w:p>
        </w:tc>
        <w:tc>
          <w:tcPr>
            <w:tcW w:w="204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w:t>
            </w:r>
          </w:p>
        </w:tc>
        <w:tc>
          <w:tcPr>
            <w:tcW w:w="260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Контроль частоты и характера стула</w:t>
            </w:r>
          </w:p>
        </w:tc>
        <w:tc>
          <w:tcPr>
            <w:tcW w:w="425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 требуются</w:t>
            </w:r>
          </w:p>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Внеплановое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исследование уровня креатинина в крови и исследование уровня альбумина в крови, иммунохроматографическое экспресс-исследование кала на токсины A и B </w:t>
            </w:r>
            <w:r w:rsidRPr="00C44A1E">
              <w:rPr>
                <w:rFonts w:ascii="Times New Roman" w:hAnsi="Times New Roman" w:cs="Times New Roman"/>
                <w:sz w:val="24"/>
                <w:szCs w:val="24"/>
              </w:rPr>
              <w:lastRenderedPageBreak/>
              <w:t>клостридии (Clostridium difficile) при водянистой диарее 4 раза в сутки и более, повышении температуры тела, подозрении на псевдомембранозный</w:t>
            </w:r>
            <w:proofErr w:type="gramEnd"/>
            <w:r w:rsidRPr="00C44A1E">
              <w:rPr>
                <w:rFonts w:ascii="Times New Roman" w:hAnsi="Times New Roman" w:cs="Times New Roman"/>
                <w:sz w:val="24"/>
                <w:szCs w:val="24"/>
              </w:rPr>
              <w:t xml:space="preserve"> колит</w:t>
            </w:r>
            <w:proofErr w:type="gramStart"/>
            <w:r w:rsidRPr="00C44A1E">
              <w:rPr>
                <w:rFonts w:ascii="Times New Roman" w:hAnsi="Times New Roman" w:cs="Times New Roman"/>
                <w:sz w:val="24"/>
                <w:szCs w:val="24"/>
              </w:rPr>
              <w:t xml:space="preserve"> Н</w:t>
            </w:r>
            <w:proofErr w:type="gramEnd"/>
            <w:r w:rsidRPr="00C44A1E">
              <w:rPr>
                <w:rFonts w:ascii="Times New Roman" w:hAnsi="Times New Roman" w:cs="Times New Roman"/>
                <w:sz w:val="24"/>
                <w:szCs w:val="24"/>
              </w:rPr>
              <w:t>е требуются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Внеплановый контроль электролитов,</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общего анализа крови, уровня креатинина и альбумина крови, экспресс-анализ фекалий на токсины C.difficile при водянистой диарее 4 раза в сутки и более, повышении температуры тела, подозрении на псевдомембранозный колит</w:t>
            </w:r>
          </w:p>
        </w:tc>
        <w:tc>
          <w:tcPr>
            <w:tcW w:w="3005"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Избегать длительного приема препаратов для лечения заболеваний связанных с нарушением кислотности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Противодиарейные микроорганизмы</w:t>
            </w:r>
          </w:p>
        </w:tc>
      </w:tr>
    </w:tbl>
    <w:p w:rsidR="00414991" w:rsidRPr="00C44A1E" w:rsidRDefault="00414991">
      <w:pPr>
        <w:rPr>
          <w:rFonts w:ascii="Times New Roman" w:hAnsi="Times New Roman" w:cs="Times New Roman"/>
          <w:sz w:val="24"/>
          <w:szCs w:val="24"/>
        </w:rPr>
        <w:sectPr w:rsidR="00414991" w:rsidRPr="00C44A1E">
          <w:pgSz w:w="16838" w:h="11905" w:orient="landscape"/>
          <w:pgMar w:top="1701" w:right="1134" w:bottom="850" w:left="1134" w:header="0" w:footer="0" w:gutter="0"/>
          <w:cols w:space="720"/>
          <w:titlePg/>
        </w:sectPr>
      </w:pP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FC36A5" w:rsidRPr="00C44A1E">
        <w:tc>
          <w:tcPr>
            <w:tcW w:w="311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Группа и наименование</w:t>
            </w:r>
          </w:p>
        </w:tc>
        <w:tc>
          <w:tcPr>
            <w:tcW w:w="5953"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Основные нежелательные реакции (ОНР)</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Группа A</w:t>
            </w:r>
          </w:p>
        </w:tc>
        <w:tc>
          <w:tcPr>
            <w:tcW w:w="5953"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#Левофлоксацин** (Lfx)</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Нарушения сна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Нарушения со стороны желудочно-кишечного тракта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Артралгия/артрит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Головная боль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Идиопатическое повышенное внутричерепное давление</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#Моксифлоксацин** (Mfx) &lt;*&gt;</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Все перечисленные ОНР для #левофлоксацина**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Увеличение интервала QT</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#Бедаквилин** (Bdq)</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Головная боль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функции печени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Увеличение интервала QT</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Артралгия</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#Линезолид &lt;**&gt; (Lzd)</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 тошнота, панкреатит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Головная боль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Миелосупрессия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Периферический неврит, неврит зрительного нерва</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Группа B</w:t>
            </w:r>
          </w:p>
        </w:tc>
        <w:tc>
          <w:tcPr>
            <w:tcW w:w="5953"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Циклосерин**/#Циклосерин (Cs)/&lt;**&gt;</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#теризидон (Trd) &lt;***&gt;</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Неврологические и психические расстройства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Депрессия</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#Клофазимин (Cfz)</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пигментации кожи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Ихтиоз</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Увеличение интервала QT</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Боль в животе</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Группа C</w:t>
            </w:r>
          </w:p>
        </w:tc>
        <w:tc>
          <w:tcPr>
            <w:tcW w:w="5953"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Этамбутол**/#Этамбутол** (E)</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Неврит зрительного нерва</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#Деламанид** (Dlm)</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Головокружение, парестезия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Тревожность, галлюцинации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Увеличение интервала QT</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Пиразинамид**/#Пиразинамид** (Z)</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Артралгия (особенно при применении с фторхинолонами)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Кожные высыпания</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#Меропенем** (Mpm)</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Гиперчувствительность, судороги</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 диарея</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функции печени и почек</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#Амикацин** (Am)</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Ототоксичность</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Нефротоксичность</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Этионамид (Eto)/&lt;****&gt; протионамид** (Pto)</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Расстройство желудочно-кишечного тракта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Металлический вкус во рту</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Гипотиреоз</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Аминосалициловая кислота** (PAS)</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Расстройство желудочно-кишечного тракта</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Гипотиреоз</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Другие</w:t>
            </w:r>
          </w:p>
        </w:tc>
        <w:tc>
          <w:tcPr>
            <w:tcW w:w="5953"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Изониазид** (H)</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Периферическая нейропатия</w:t>
            </w:r>
          </w:p>
        </w:tc>
      </w:tr>
      <w:tr w:rsidR="00414991" w:rsidRPr="00C44A1E">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Рифампицин** (R)</w:t>
            </w:r>
          </w:p>
        </w:tc>
        <w:tc>
          <w:tcPr>
            <w:tcW w:w="5953"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34" w:name="P2109"/>
      <w:bookmarkEnd w:id="134"/>
      <w:proofErr w:type="gramStart"/>
      <w:r w:rsidRPr="00C44A1E">
        <w:rPr>
          <w:rFonts w:ascii="Times New Roman" w:hAnsi="Times New Roman" w:cs="Times New Roman"/>
          <w:sz w:val="24"/>
          <w:szCs w:val="24"/>
        </w:rPr>
        <w:t>&lt;*&gt; Регулярный контроль параметров электрокардиограммы при назначении лекарственных средств, способных увеличивать интервал QT (фторхинолоны, #бедаквилин**, #деламанид**, #клофазимин.</w:t>
      </w:r>
      <w:proofErr w:type="gramEnd"/>
      <w:r w:rsidRPr="00C44A1E">
        <w:rPr>
          <w:rFonts w:ascii="Times New Roman" w:hAnsi="Times New Roman" w:cs="Times New Roman"/>
          <w:sz w:val="24"/>
          <w:szCs w:val="24"/>
        </w:rPr>
        <w:t xml:space="preserve"> ЭКГ желательно проводить до начала лечения, через две и четыре недели после начала, а затем каждые четыре недели до окончания терапии и, кроме того, в любое время при наличии клинических показаний независимо от количества кардиотоксических препаратов в схеме. У детей и подростков риск сильного увеличения интервала QT (QTcF &gt;= 500 мс) невысок. Если проводить мониторинг часто не представляется возможным, то может быть проведение ЭКГ до начала лечения, через 4, 8 и 24 недели после начала, по клиническим показаниям - в любое время.</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35" w:name="P2110"/>
      <w:bookmarkEnd w:id="135"/>
      <w:r w:rsidRPr="00C44A1E">
        <w:rPr>
          <w:rFonts w:ascii="Times New Roman" w:hAnsi="Times New Roman" w:cs="Times New Roman"/>
          <w:sz w:val="24"/>
          <w:szCs w:val="24"/>
        </w:rPr>
        <w:t>&lt;**&gt; У пациентов, получающих #Lzd**, наблюдается токсическое воздействие препарата на костный мозг (анемия, тромбоцитопения или нейтропения). Риск нежелательных реакций возрастает вместе с продолжительностью лечения. При применении #Lzd** желательно провести общий (клинический) анализ крови с дифференцированным подсчетом лейкоцитов (лейкоцитарной формулы) до начала лечения, а затем выполнять его каждые две недели в течение двух месяцев, а далее - каждые четыре недели. Этот подход позволяет выявлять нежелательные реакции на ранних стадиях. Анемия, тромбоцитопения и нейтропения обычно носят обратимый характер и проходят после отмены #Lzd**, впоследствии его можно снова назначить в более низкой дозе. При необратимом характере нежелательных реакций требуется отмена #линезолида**.</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36" w:name="P2111"/>
      <w:bookmarkEnd w:id="136"/>
      <w:r w:rsidRPr="00C44A1E">
        <w:rPr>
          <w:rFonts w:ascii="Times New Roman" w:hAnsi="Times New Roman" w:cs="Times New Roman"/>
          <w:sz w:val="24"/>
          <w:szCs w:val="24"/>
        </w:rPr>
        <w:t>&lt;***&gt; Мониторинг появления нейропсихиатрических нежелательных реакций, включая галлюцинации, важен для детей, получающих препараты с известными нейропсихиатрическими побочными эффектами - #деламанид** и #циклосерин**.</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37" w:name="P2112"/>
      <w:bookmarkEnd w:id="137"/>
      <w:r w:rsidRPr="00C44A1E">
        <w:rPr>
          <w:rFonts w:ascii="Times New Roman" w:hAnsi="Times New Roman" w:cs="Times New Roman"/>
          <w:sz w:val="24"/>
          <w:szCs w:val="24"/>
        </w:rPr>
        <w:t xml:space="preserve">&lt;****&gt; Гипотиреоз является нежелательным эффектом приема #этионамида и аминосалициловой кислоты** Риск его возникновения повышается при комбинировании этих препаратов. Симптомы гипотиреоза неспецифичны, и у детей младшего возраста их оценка может быть затруднена. Гипотиреоз может отрицательно сказываться на развитии нервной системы у детей младшего возраста. Важно регулярно (каждые два месяца) </w:t>
      </w:r>
      <w:r w:rsidRPr="00C44A1E">
        <w:rPr>
          <w:rFonts w:ascii="Times New Roman" w:hAnsi="Times New Roman" w:cs="Times New Roman"/>
          <w:sz w:val="24"/>
          <w:szCs w:val="24"/>
        </w:rPr>
        <w:lastRenderedPageBreak/>
        <w:t>проводить лабораторный мониторинг функции щитовидной железы ребенка в течение всего срока применения каких-либо из подобных препаратов и назначать препараты левотироксина при наличии клинических или лабораторных признаков гипотиреоза.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Оценка гепатотоксичности: комбинации препаратов часто вызывают гепатотоксические реакции. До начала лечения необходимо определить у детей активность аланинаминотрансферазы в крови, и активность аспартатаминотрансферазы в крови и исследование уровня общего билирубина в крови. Мониторинг гепатотоксичности состоит в повторении анализа крови биохимического общетерапевтического каждые 4 недели (ежемесячно) в течение первых 6 месяцев, а затем - каждые 8 недель, а также дополнительно при наличии клинических показаний. При желтухе или повышении уровня билирубина и повышенной АЛТ, либо при наличии клинических симптомов и повышении АЛТ более чем в три раза относительно нормы, либо при отсутствии симптомов на фоне повышения АЛТ более чем в пять раз относительно нормы, все противотуберкулезные препараты следует немедленно отменить. После отмены нормализуется уровень ферментов печени. При наличии клинических показаний можно осторожно, по одному, возобновлять прием противотуберкулезных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неустранимых нежелательных реакциях в схеме ХТ необходимо заменить препарат, вызвавший нежелательную реакцию, на альтернативный противотуберкулезный препарат.</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Необходимо помнить, что: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некоторые неблагоприятные побочные реакции могут представлять угрозу для жизни пациента, если их своевременно не диагностировать и не купировать;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если неблагоприятные побочные реакции не купируются должным образом, существует высокий риск отрыва от лечения и неудачи в лечении;</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большинство неблагоприятных побочных реакций умеренно выражены и легко управляемы без нанесения ущерба для противотуберкулезной терапии;</w:t>
      </w:r>
      <w:proofErr w:type="gramEnd"/>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т.к. пациенты получают химиотерапию в комбинации, иногда сложно определить какой препарат вызвал реакцию;</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неблагоприятные побочные реакции могут возникать из-за взаимодействия препаратов между собой;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во всех случаях неблагоприятных побочных реакций в первую очередь должны быть исключены и устранены другие причины (соматические и инфекционные заболевания), которые могли бы вызвать подобные проявления.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Для коррекции неблагоприятных побочных реакций используется следующий алгоритм (см. Табл. 8):</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непосредственное устранение неблагоприятных реакций по стандартным схемам;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уменьшение дозы препарат</w:t>
      </w:r>
      <w:proofErr w:type="gramStart"/>
      <w:r w:rsidRPr="00C44A1E">
        <w:rPr>
          <w:rFonts w:ascii="Times New Roman" w:hAnsi="Times New Roman" w:cs="Times New Roman"/>
          <w:sz w:val="24"/>
          <w:szCs w:val="24"/>
        </w:rPr>
        <w:t>а(</w:t>
      </w:r>
      <w:proofErr w:type="gramEnd"/>
      <w:r w:rsidRPr="00C44A1E">
        <w:rPr>
          <w:rFonts w:ascii="Times New Roman" w:hAnsi="Times New Roman" w:cs="Times New Roman"/>
          <w:sz w:val="24"/>
          <w:szCs w:val="24"/>
        </w:rPr>
        <w:t>ов), который(е) наиболее вероятно стал(и) причиной неблагоприятных реакций;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отмена препарата (в случаях возникновения неблагоприятных побочных реакций, угрожающих жизни пациента, отмена препарата проводится незамедлительно).</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138" w:name="P2128"/>
      <w:bookmarkEnd w:id="138"/>
      <w:r w:rsidRPr="00C44A1E">
        <w:rPr>
          <w:rFonts w:ascii="Times New Roman" w:hAnsi="Times New Roman" w:cs="Times New Roman"/>
          <w:sz w:val="24"/>
          <w:szCs w:val="24"/>
        </w:rPr>
        <w:lastRenderedPageBreak/>
        <w:t xml:space="preserve">Таблица 8. </w:t>
      </w:r>
      <w:proofErr w:type="gramStart"/>
      <w:r w:rsidRPr="00C44A1E">
        <w:rPr>
          <w:rFonts w:ascii="Times New Roman" w:hAnsi="Times New Roman" w:cs="Times New Roman"/>
          <w:sz w:val="24"/>
          <w:szCs w:val="24"/>
        </w:rPr>
        <w:t>Коррекция неблагоприятных побочных реакций в процессе химиотерапии (Представленные мероприятия не отменяют необходимость контроля возникновения иных побочных реакций, исключения иных причин возникновения описанных состояний, а также конкретизации и/или назначения иных видов терапии в конкретной клинической ситуации в соответствии с клиническими рекомендациями по данным состояниям.</w:t>
      </w:r>
      <w:proofErr w:type="gramEnd"/>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Назначение указанных медицинских вмешательств, в том числе, лекарственной терапии, проводится в соответствии с порядками оказания медицинской помощи и иными нормативными правовыми документами в сфере здравоохранения, действующими на территории Российской Федерации)</w:t>
      </w:r>
      <w:proofErr w:type="gramEnd"/>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rPr>
          <w:rFonts w:ascii="Times New Roman" w:hAnsi="Times New Roman" w:cs="Times New Roman"/>
          <w:sz w:val="24"/>
          <w:szCs w:val="24"/>
        </w:rPr>
        <w:sectPr w:rsidR="00414991" w:rsidRPr="00C44A1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3628"/>
        <w:gridCol w:w="340"/>
        <w:gridCol w:w="5613"/>
      </w:tblGrid>
      <w:tr w:rsidR="00FC36A5" w:rsidRPr="00C44A1E">
        <w:tc>
          <w:tcPr>
            <w:tcW w:w="1757" w:type="dxa"/>
            <w:tcBorders>
              <w:top w:val="single" w:sz="4" w:space="0" w:color="auto"/>
              <w:bottom w:val="single" w:sz="4" w:space="0" w:color="auto"/>
            </w:tcBorders>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lastRenderedPageBreak/>
              <w:t>Неблагоприятная побочная реакция</w:t>
            </w:r>
          </w:p>
        </w:tc>
        <w:tc>
          <w:tcPr>
            <w:tcW w:w="3628" w:type="dxa"/>
            <w:tcBorders>
              <w:top w:val="single" w:sz="4" w:space="0" w:color="auto"/>
              <w:bottom w:val="single" w:sz="4" w:space="0" w:color="auto"/>
            </w:tcBorders>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Наиболее вероятный препарат</w:t>
            </w:r>
          </w:p>
        </w:tc>
        <w:tc>
          <w:tcPr>
            <w:tcW w:w="5953" w:type="dxa"/>
            <w:gridSpan w:val="2"/>
            <w:tcBorders>
              <w:top w:val="single" w:sz="4" w:space="0" w:color="auto"/>
              <w:bottom w:val="single" w:sz="4" w:space="0" w:color="auto"/>
            </w:tcBorders>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Рекомендуемая коррекция</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Судороги</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 изониазид**, #левофлоксацин** #моксифлоксацин**, #линезолид**, #имипенем + [циластатин]**</w:t>
            </w:r>
          </w:p>
        </w:tc>
        <w:tc>
          <w:tcPr>
            <w:tcW w:w="340" w:type="dxa"/>
            <w:tcBorders>
              <w:top w:val="single" w:sz="4" w:space="0" w:color="auto"/>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Отмена всех препаратов, которые могли вызвать судороги;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врача-невролога;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Симптоматическая терапия;</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Возобновить прием препаратов по ступенчатой схеме (один за другим) с коррекцией дозы.</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 Не возобновлять прием наиболее вероятного виновника судорог (циклосерина**), если это не повредит лечению</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Периферическая нейропатия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 #линезолид**, изониазид**, канамицин**, #амикацин**, #капреомицин**, #этионамид**, #протионамид**, #левофлоксацин**, #моксифлоксацин**</w:t>
            </w:r>
          </w:p>
        </w:tc>
        <w:tc>
          <w:tcPr>
            <w:tcW w:w="340" w:type="dxa"/>
            <w:tcBorders>
              <w:top w:val="single" w:sz="4" w:space="0" w:color="auto"/>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врача-невролога;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Симптоматическая терапия;</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неэффективности перечисленных мероприятий снизить дозу соответствующего препарата, при сохранении/нарастании симптомов - отменить его; после купирования симптомов возможно повторное назначение в сниженной дозе (кроме #линезолида**);</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появлении любых симптомов полинейропатии на фоне приема линезолида** - отменить препарат; при легких симптомах после их исчезновения возможно возобновление приема в сниженной дозе (300 мг/сут), в остальных случаях #линезолид** не возобновляют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Головная боль, сонливость</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 изониазид**, #бедаквилин**, #деламанид**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Перенести прием соответствующего препарата на вечернее время (перед сном);</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Назначить НПВП</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неэффективности снизить дозу соответствующего препарата или отменить его (в случае выраженных симптомов с нарушением повседневной активности, не поддающихся консервативному лечению)</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Снижение слуха</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Канамицин**, #амикацин**, #капреомицин**</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врача-оториноларинголога;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Симптоматическая терапия;</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Проведение тональной аудиометрии;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ранних симптомах (снижение порога звуковосприятия в пределах 25 дБ и более на двух смежных частотах при тональной аудиометрии, ощущение преходящего шума/заложенности в ушах) заменить #амикацин**, канамицин**, стрептомицин** на #капреомицин** (при сохранении к нему лекарственной чувствительности возбудителя) или назначить интермиттирующий режим (3 раза в неделю);</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сохранении/нарастании нарушений отменить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Вестибулотоксичность</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Канамицин**, #амикацин**, #капреомицин**, #циклосерин**, #левофлоксацин**, </w:t>
            </w:r>
            <w:r w:rsidRPr="00C44A1E">
              <w:rPr>
                <w:rFonts w:ascii="Times New Roman" w:hAnsi="Times New Roman" w:cs="Times New Roman"/>
                <w:sz w:val="24"/>
                <w:szCs w:val="24"/>
              </w:rPr>
              <w:lastRenderedPageBreak/>
              <w:t>#моксифлоксацин**, изониазид**, #этионамид**, #линезолид**, #деламанид**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При ранних симптомах (преходящее головокружение, ощущение "заложенности в ушах") снизить дозу препарата (#амикацин**, канамицин**, </w:t>
            </w:r>
            <w:r w:rsidRPr="00C44A1E">
              <w:rPr>
                <w:rFonts w:ascii="Times New Roman" w:hAnsi="Times New Roman" w:cs="Times New Roman"/>
                <w:sz w:val="24"/>
                <w:szCs w:val="24"/>
              </w:rPr>
              <w:lastRenderedPageBreak/>
              <w:t>стрептомицин**, #капреомицин**) или назначить интермиттирующий режим (3 раза в неделю);</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врача-оториноларинголога;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Симптоматическая терапия;</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сохранении/нарастании нарушений отменить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Психоз</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 изониазид**, #левофлоксацин**, #моксифлоксацин**, #этионамид**, #протионамид**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Отменить все препараты до устранения симптомов психоза;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врача-психиатра;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Начать лечение психоза по рекомендации врача-психиатра (с возможным продолжением на протяжении всего курса противотуберкулезной терапии);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Возобновить прием препаратов под тщательным наблюдением (по одному); при отсутствии альтернативы возможно возобновление циклосерина** в сниженной дозе;</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сохранении/рецидиве психических нарушений отменить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Депрессия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 #теризидон**, изониазид**, #левофлоксацин**, #моксифлоксацин**, #Этионамид**, #протионамид**,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Провести исследование уровня тиреотропного гормона (ТТГ) в крови, исследование уровня креатинина в крови;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врача-психиатра;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Групповая или индивидуальная психотерапия, антидепрессивная терапия;</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Рассмотреть вопрос о снижении дозы препарата - виновника депрессии;</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сохранении/нарастании симптомов депрессии, появлении суицидальных высказываний или попыток отменить препара</w:t>
            </w:r>
            <w:proofErr w:type="gramStart"/>
            <w:r w:rsidRPr="00C44A1E">
              <w:rPr>
                <w:rFonts w:ascii="Times New Roman" w:hAnsi="Times New Roman" w:cs="Times New Roman"/>
                <w:sz w:val="24"/>
                <w:szCs w:val="24"/>
              </w:rPr>
              <w:t>т(</w:t>
            </w:r>
            <w:proofErr w:type="gramEnd"/>
            <w:r w:rsidRPr="00C44A1E">
              <w:rPr>
                <w:rFonts w:ascii="Times New Roman" w:hAnsi="Times New Roman" w:cs="Times New Roman"/>
                <w:sz w:val="24"/>
                <w:szCs w:val="24"/>
              </w:rPr>
              <w:t>-ы) - виновник(-и) депрессии</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Гипотиреоз</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Аминосалициловая кислота**, #этионамид**, #протионамид**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повышении уровня тиреотропного гормона (ТТГ) при исследовании уровня тиреотропного гормона (ТТГ) в крови назначить прием (осмотр, консультация) врача-эндокринолога;</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Заместительная терапия до завершения приема препарата, вызвавшего гипотиреоз.</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Тошнота и рвота</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#Этионамид**, #протионамид**, аминосалициловая кислота**, изониазид**, #этамбутол**, #пиразинамид**, бедаквилин**, #амоксициллин + клавулановая кислота**, #деламанид**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Определение активности аланинаминотрансферазы в крови, определение активности аспартатаминотрансферазы в крови, исследование уровня креатинина в крови для исключения гепат</w:t>
            </w:r>
            <w:proofErr w:type="gramStart"/>
            <w:r w:rsidRPr="00C44A1E">
              <w:rPr>
                <w:rFonts w:ascii="Times New Roman" w:hAnsi="Times New Roman" w:cs="Times New Roman"/>
                <w:sz w:val="24"/>
                <w:szCs w:val="24"/>
              </w:rPr>
              <w:t>о-</w:t>
            </w:r>
            <w:proofErr w:type="gramEnd"/>
            <w:r w:rsidRPr="00C44A1E">
              <w:rPr>
                <w:rFonts w:ascii="Times New Roman" w:hAnsi="Times New Roman" w:cs="Times New Roman"/>
                <w:sz w:val="24"/>
                <w:szCs w:val="24"/>
              </w:rPr>
              <w:t xml:space="preserve"> или нефротоксической реакции как причины тошноты и рвоты;</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Определить степень дегидратации и электролитного дисбаланса, провести коррекцию нарушений;</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Перейти на парентеральный путь введения препарата или изменить режим приема: принимать на ночь, либо дробно в течение дня, с легким перекусом;</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Провести симптоматическую терапию для купирования тошноты, рвоты;</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Снизить дозу препарата;</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неэффективности всех мероприятий, при рвоте 6 раз в сутки и более, тошноте с невозможностью адекватного приема жидкости и пищи, при появлении ацидоза, боли в животе с повышением панкреатических ферментов - отменить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Острый гастрит</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#Этионамид**, #протионамид**, аминосалициловая кислота**, #левофлоксацин**, #моксифлоксацин**, изониазид**, #этамбутол**, #пиразинамид**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Назначить противотуберкулезные препараты парентерально (при наличии парентеральных форм);</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Пероральный прием препаратов - после легкого перекуса, с разделением дозы на 2 - 3 приема или приемом на ночь;</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Щадящая диета;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Снизить дозу соответствующего препарата;</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неэффективности всех мероприятий отменить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Диарея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Аминосалициловая кислота**, #этионамид**, #протионамид**, #левофлоксацин**, #моксифлоксацин**, #амоксициллин + клавулановая кислота**, #линезолид**, карбапенемы</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Рекомендовать щадящую диету с учетом тяжести диареи. По возможности перейти на парентеральный путь введения препарата;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Определить степень дегидратации и электролитного дисбаланса, провести коррекцию нарушений;</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Симптоматическая терапия диареи;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Микробиологическое (культуральное) исследование </w:t>
            </w:r>
            <w:r w:rsidRPr="00C44A1E">
              <w:rPr>
                <w:rFonts w:ascii="Times New Roman" w:hAnsi="Times New Roman" w:cs="Times New Roman"/>
                <w:sz w:val="24"/>
                <w:szCs w:val="24"/>
              </w:rPr>
              <w:lastRenderedPageBreak/>
              <w:t xml:space="preserve">фекалий/ректального мазка </w:t>
            </w:r>
            <w:proofErr w:type="gramStart"/>
            <w:r w:rsidRPr="00C44A1E">
              <w:rPr>
                <w:rFonts w:ascii="Times New Roman" w:hAnsi="Times New Roman" w:cs="Times New Roman"/>
                <w:sz w:val="24"/>
                <w:szCs w:val="24"/>
              </w:rPr>
              <w:t>на</w:t>
            </w:r>
            <w:proofErr w:type="gramEnd"/>
            <w:r w:rsidRPr="00C44A1E">
              <w:rPr>
                <w:rFonts w:ascii="Times New Roman" w:hAnsi="Times New Roman" w:cs="Times New Roman"/>
                <w:sz w:val="24"/>
                <w:szCs w:val="24"/>
              </w:rPr>
              <w:t xml:space="preserve"> возбудитель диффициального клостридиоза (Clostridium difficile) (по возможности);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водянистой диарее чаще 4 раз в сутки - иммунохроматографическое экспресс-исследование кала на токсины A и B клостридии (Clostridium difficile). Внеплановый контроль общего (клинического) анализа крови, исследование уровня альбумина в крови, исследование уровня креатинина в крови;</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Отмена препарата при наличии "симптомов тревоги" (лихорадки, лейкоцитоза, крови в стуле), при водянистой диарее 7 раз в сутки и более, подтверждении Cl. difficile-ассоциированного колита</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Гепатит</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#Пиразинамид**, изониазид**, #этионамид**, #протионамид**, аминосалициловая кислота**, #претоманид**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повышении уровня трансаминаз &gt;= 3N в сочетании с повышением общего билирубина &gt;= 2N и/или симптомами гепатита, а также при любом повышении трансаминаз &gt;= 5N прекратить химиотерапию до разрешения гепатита. Отменить препараты с известным гепатотоксическим действием, назначенные в составе терапии сопровождения;</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Исключить другие вероятные причины гепатита;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Базисная терапия (дезинтоксикационная, симптоматическая, гепатопротекторы (препараты для лечения заболеваний печени и желчевыводящих путей с учетом преобладания синдромов цитолиза или холестаза в соответствии с рекомендациями врача-гастроэнтеролога (гепатолога);</w:t>
            </w:r>
            <w:proofErr w:type="gramEnd"/>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тяжелом гепатите с иммуноаллергическим компонентом рассмотреть возможность назначения короткого курса глюкокортикоидов, применения эфферентных методов;</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развитии желтухи, симптомах нарушения функции печени - ведение пациента в условиях отделения интенсивной терапии, с выполнением алгоритмов ведения синдрома острой печеночной недостаточности;</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После снижения уровня трансаминаз менее 2 N возобновить прием препаратов для лечения туберкулеза, кроме пиразинамида** (по одному, начиная с наименее гепатотоксичных), под контролем лабораторных показателей функции печени. При невозможности прерывания химиотерапии по жизненным показаниям рассмотреть назначение альтернативного режима из препаратов с наименьшим риском гепатотоксичности независимо от уровня трансаминаз</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Нефротоксичность</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канамицин**, #амикацин**, #капреомицин**</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функции нефронов по клиренсу креатинина (проба Реберга), исследование уровня креатинина в моче (расчетные методы) и исследование уровня натрия в крови, исследование уровня калия в крови, исследование уровня хлоридов в крови, исследование уровня общего магния в сыворотке крови, исследование уровня креатинина в крови. Исключить причины повреждения почек, не связанные с назначением инъекционных препаратов;</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Обеспечить адекватный питьевой режим, терапию электролитных нарушений;</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Отменить инъекционный препарат. Рассмотреть его замену на препарат без нефротоксического действия, или возобновление терапии (с заменой аминогликозида на #капреомицин** при сохранении лекарственной чувствительности возбудителя) в интермиттирующем режиме (2 - 3 раза в неделю в дозе 12 - 15 мг/кг) после восстановления/стабилизации функции почек;</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Скорректировать дозы остальных препаратов в соответствии с клиренсом креатинина;</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тяжелых нарушениях рассмотреть показания к гемодиализу</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Нарушения состава электролитов (снижение уровня калия и магния)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#Капреомицин**, канамицин**, #амикацин**, #деламанид**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калия в крови;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выявлении гипокалиемии исследование уровня общего магния в сыворотке крови и исследование уровня общего кальция в крови, исследование уровня креатинина в крови, выполнить мониторирование электрокардиографических данных (ЭКГ);</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Оценить наличие дегидратации (у пациентов с гипокалиемией на фоне рвоты, диареи); начать пероральную или </w:t>
            </w:r>
            <w:proofErr w:type="gramStart"/>
            <w:r w:rsidRPr="00C44A1E">
              <w:rPr>
                <w:rFonts w:ascii="Times New Roman" w:hAnsi="Times New Roman" w:cs="Times New Roman"/>
                <w:sz w:val="24"/>
                <w:szCs w:val="24"/>
              </w:rPr>
              <w:t>внутривенную</w:t>
            </w:r>
            <w:proofErr w:type="gramEnd"/>
            <w:r w:rsidRPr="00C44A1E">
              <w:rPr>
                <w:rFonts w:ascii="Times New Roman" w:hAnsi="Times New Roman" w:cs="Times New Roman"/>
                <w:sz w:val="24"/>
                <w:szCs w:val="24"/>
              </w:rPr>
              <w:t xml:space="preserve"> регидратацию при необходимости;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Назначить диету, обогащенную калием;</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Компенсировать сдвиги электролитного состава препаратами калия, магния, кальция (пероральный прием, при выраженных нарушениях - парентеральное введение препаратов);</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удлинении QTc приостановить прием препаратов с потенциальным влиянием на данный интервал (#левофлоксацина**, #моксифлоксацина**, бедаквилина** и других) до нормализации уровня электролитов и длительности QTc;</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7.</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тяжелых нарушениях (гипокалиемия менее 2,0 ммоль/л) немедленно отменить инъекционный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Нарушение функции зрения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Этамбутол**, #линезолид**, #протионамид**, #этионамид**, изониазид**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Немедленно отменить этамбутол**, #линезолид** при любом снижении зрительной функции во время лечения;</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врача-офтальмолога) первичный;</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При подтверждении </w:t>
            </w:r>
            <w:proofErr w:type="gramStart"/>
            <w:r w:rsidRPr="00C44A1E">
              <w:rPr>
                <w:rFonts w:ascii="Times New Roman" w:hAnsi="Times New Roman" w:cs="Times New Roman"/>
                <w:sz w:val="24"/>
                <w:szCs w:val="24"/>
              </w:rPr>
              <w:t>оптической</w:t>
            </w:r>
            <w:proofErr w:type="gramEnd"/>
            <w:r w:rsidRPr="00C44A1E">
              <w:rPr>
                <w:rFonts w:ascii="Times New Roman" w:hAnsi="Times New Roman" w:cs="Times New Roman"/>
                <w:sz w:val="24"/>
                <w:szCs w:val="24"/>
              </w:rPr>
              <w:t xml:space="preserve"> нейропатии полностью исключить препарат</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Артралгия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Пиразинамид**, #левофлоксацин**, #моксифлоксацин**, #бедаквилин**, аминосалициловая кислота**</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мочевой кислоты в крови и исследование уровня креатинина в крови;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Сипмтоматическая терапия артралгии;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повышении уровня мочевой кислоты крови (600 - 900 мкмоль/л) снизить дозу пиразинамида** (прием через день).</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При некупируемых артралгиях, подагрическом </w:t>
            </w:r>
            <w:r w:rsidRPr="00C44A1E">
              <w:rPr>
                <w:rFonts w:ascii="Times New Roman" w:hAnsi="Times New Roman" w:cs="Times New Roman"/>
                <w:sz w:val="24"/>
                <w:szCs w:val="24"/>
              </w:rPr>
              <w:lastRenderedPageBreak/>
              <w:t>артрите, гиперурикемии более 900 мкмоль/л отменить пиразинамид**; при наличии признаков тендинита (отек и боль в проекции сухожилий) отменить #левофлоксацин**, #моксифлоксацин**, исключить нагрузку на поврежденное сухожилие</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Удлинение интервала QTc</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#Бедаквилин**, #моксифлоксацин**, #левофлоксацин**, #деламанид**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Проверить и при необходимости скорректировать уровень электролитов (K, Ca, Mg), провести исследование уровня тиреотропного гормона (ТТГ) в крови;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Приостановить прием препаратов, удлиняющих интервал QTc (кроме препаратов для лечения туберкулеза);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#Моксифлоксацин** заменить на #левофлоксацин**;</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Проводить мониторирование электрокардиографических данных контроль (ЭКГ) не реже 1 раза в неделю до нормализации интервала;</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удлинении интервала QTc &gt;= 500 мс, желудочковой аритмии, появлении синкопе на фоне удлинения QTc - немедленно отменить все препараты, удлиняющие интервал QT; тщательное мониторирование электрокардиографических данных (ЭКГ); после нормализации длительности интервала при необходимости рассмотреть возобновление #бедаквилина** под контролем мониторирования электрокардиографических данных (ЭКГ).</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Миелосупресси</w:t>
            </w:r>
            <w:r w:rsidRPr="00C44A1E">
              <w:rPr>
                <w:rFonts w:ascii="Times New Roman" w:hAnsi="Times New Roman" w:cs="Times New Roman"/>
                <w:sz w:val="24"/>
                <w:szCs w:val="24"/>
              </w:rPr>
              <w:lastRenderedPageBreak/>
              <w:t>я (лейкопения, анемия, тромпоцитопения и др.)</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#Линезолид**, изониазид**</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Исключить другие причины анемии, </w:t>
            </w:r>
            <w:r w:rsidRPr="00C44A1E">
              <w:rPr>
                <w:rFonts w:ascii="Times New Roman" w:hAnsi="Times New Roman" w:cs="Times New Roman"/>
                <w:sz w:val="24"/>
                <w:szCs w:val="24"/>
              </w:rPr>
              <w:lastRenderedPageBreak/>
              <w:t>тромбоцитопении, нейтропении;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Возможно продолжение приема препарата в сниженной дозе при легких и умеренных нарушениях (гемоглобин более 80 г/л, тромбоциты более 50 x 10</w:t>
            </w:r>
            <w:r w:rsidRPr="00C44A1E">
              <w:rPr>
                <w:rFonts w:ascii="Times New Roman" w:hAnsi="Times New Roman" w:cs="Times New Roman"/>
                <w:sz w:val="24"/>
                <w:szCs w:val="24"/>
                <w:vertAlign w:val="superscript"/>
              </w:rPr>
              <w:t>9</w:t>
            </w:r>
            <w:r w:rsidRPr="00C44A1E">
              <w:rPr>
                <w:rFonts w:ascii="Times New Roman" w:hAnsi="Times New Roman" w:cs="Times New Roman"/>
                <w:sz w:val="24"/>
                <w:szCs w:val="24"/>
              </w:rPr>
              <w:t>/л (при отсутствии геморрагического синдрома), лейкоциты более 2,0 x 10</w:t>
            </w:r>
            <w:r w:rsidRPr="00C44A1E">
              <w:rPr>
                <w:rFonts w:ascii="Times New Roman" w:hAnsi="Times New Roman" w:cs="Times New Roman"/>
                <w:sz w:val="24"/>
                <w:szCs w:val="24"/>
                <w:vertAlign w:val="superscript"/>
              </w:rPr>
              <w:t>9</w:t>
            </w:r>
            <w:r w:rsidRPr="00C44A1E">
              <w:rPr>
                <w:rFonts w:ascii="Times New Roman" w:hAnsi="Times New Roman" w:cs="Times New Roman"/>
                <w:sz w:val="24"/>
                <w:szCs w:val="24"/>
              </w:rPr>
              <w:t>/л, нейтрофилы более 1,0 x 10</w:t>
            </w:r>
            <w:r w:rsidRPr="00C44A1E">
              <w:rPr>
                <w:rFonts w:ascii="Times New Roman" w:hAnsi="Times New Roman" w:cs="Times New Roman"/>
                <w:sz w:val="24"/>
                <w:szCs w:val="24"/>
                <w:vertAlign w:val="superscript"/>
              </w:rPr>
              <w:t>9</w:t>
            </w:r>
            <w:r w:rsidRPr="00C44A1E">
              <w:rPr>
                <w:rFonts w:ascii="Times New Roman" w:hAnsi="Times New Roman" w:cs="Times New Roman"/>
                <w:sz w:val="24"/>
                <w:szCs w:val="24"/>
              </w:rPr>
              <w:t>/л) при условии еженедельного контроля общего анализа крови;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Прекратить прием препарата при снижении гемоглобина менее 80 г/л, тромбоцитов менее 50 x 10</w:t>
            </w:r>
            <w:r w:rsidRPr="00C44A1E">
              <w:rPr>
                <w:rFonts w:ascii="Times New Roman" w:hAnsi="Times New Roman" w:cs="Times New Roman"/>
                <w:sz w:val="24"/>
                <w:szCs w:val="24"/>
                <w:vertAlign w:val="superscript"/>
              </w:rPr>
              <w:t>9</w:t>
            </w:r>
            <w:r w:rsidRPr="00C44A1E">
              <w:rPr>
                <w:rFonts w:ascii="Times New Roman" w:hAnsi="Times New Roman" w:cs="Times New Roman"/>
                <w:sz w:val="24"/>
                <w:szCs w:val="24"/>
              </w:rPr>
              <w:t>/л (или развитии геморрагического синдрома на фоне любого снижения тромбоцитов), лейкоцитов менее 2,0 x 10</w:t>
            </w:r>
            <w:r w:rsidRPr="00C44A1E">
              <w:rPr>
                <w:rFonts w:ascii="Times New Roman" w:hAnsi="Times New Roman" w:cs="Times New Roman"/>
                <w:sz w:val="24"/>
                <w:szCs w:val="24"/>
                <w:vertAlign w:val="superscript"/>
              </w:rPr>
              <w:t>9</w:t>
            </w:r>
            <w:r w:rsidRPr="00C44A1E">
              <w:rPr>
                <w:rFonts w:ascii="Times New Roman" w:hAnsi="Times New Roman" w:cs="Times New Roman"/>
                <w:sz w:val="24"/>
                <w:szCs w:val="24"/>
              </w:rPr>
              <w:t>/л, нейтрофилов менее 1,0 x 10</w:t>
            </w:r>
            <w:r w:rsidRPr="00C44A1E">
              <w:rPr>
                <w:rFonts w:ascii="Times New Roman" w:hAnsi="Times New Roman" w:cs="Times New Roman"/>
                <w:sz w:val="24"/>
                <w:szCs w:val="24"/>
                <w:vertAlign w:val="superscript"/>
              </w:rPr>
              <w:t>9</w:t>
            </w:r>
            <w:r w:rsidRPr="00C44A1E">
              <w:rPr>
                <w:rFonts w:ascii="Times New Roman" w:hAnsi="Times New Roman" w:cs="Times New Roman"/>
                <w:sz w:val="24"/>
                <w:szCs w:val="24"/>
              </w:rPr>
              <w:t>/л;</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Коррекция цитопении;</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нормализации показателей можно возобновить прием #линезолида** в сниженной дозе (300 мг/сут) под контролем общего (клинического) анализа крови;</w:t>
            </w:r>
          </w:p>
        </w:tc>
      </w:tr>
      <w:tr w:rsidR="00FC36A5" w:rsidRPr="00C44A1E">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Отменить препарат при повторном возникновении симптомов</w:t>
            </w:r>
          </w:p>
        </w:tc>
      </w:tr>
      <w:tr w:rsidR="00FC36A5" w:rsidRPr="00C44A1E">
        <w:tc>
          <w:tcPr>
            <w:tcW w:w="1757"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Аллергическая реакция</w:t>
            </w:r>
          </w:p>
        </w:tc>
        <w:tc>
          <w:tcPr>
            <w:tcW w:w="3628" w:type="dxa"/>
            <w:vMerge w:val="restart"/>
            <w:tcBorders>
              <w:top w:val="single" w:sz="4" w:space="0" w:color="auto"/>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Любой</w:t>
            </w:r>
          </w:p>
        </w:tc>
        <w:tc>
          <w:tcPr>
            <w:tcW w:w="340" w:type="dxa"/>
            <w:tcBorders>
              <w:top w:val="single" w:sz="4" w:space="0" w:color="auto"/>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w:t>
            </w:r>
          </w:p>
        </w:tc>
        <w:tc>
          <w:tcPr>
            <w:tcW w:w="5613" w:type="dxa"/>
            <w:tcBorders>
              <w:top w:val="single" w:sz="4" w:space="0" w:color="auto"/>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анафилактическом шоке, отеке Квинке, бронхоспазме - немедленная отмена вызвавшего их препарата;</w:t>
            </w:r>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 xml:space="preserve">При других тяжелых аллергических реакциях (крапивница или иная аллергическая сыпь &gt; 30% поверхности тела, высыпания на слизистых оболочках, сыпь с признаками некроза кожи, </w:t>
            </w:r>
            <w:r w:rsidRPr="00C44A1E">
              <w:rPr>
                <w:rFonts w:ascii="Times New Roman" w:hAnsi="Times New Roman" w:cs="Times New Roman"/>
                <w:sz w:val="24"/>
                <w:szCs w:val="24"/>
              </w:rPr>
              <w:lastRenderedPageBreak/>
              <w:t>отслойкой эпидермиса, выраженный распространенный кожный зуд, эозинофилия крови &gt;= 20%, лихорадка 38 °C и выше при исключении инфекционной причины, системная аллергическая реакция с поражением внутренних органов) - отмена препарата без последующих попыток десенситизации;</w:t>
            </w:r>
            <w:proofErr w:type="gramEnd"/>
          </w:p>
        </w:tc>
      </w:tr>
      <w:tr w:rsidR="00FC36A5"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nil"/>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w:t>
            </w:r>
          </w:p>
        </w:tc>
        <w:tc>
          <w:tcPr>
            <w:tcW w:w="5613" w:type="dxa"/>
            <w:tcBorders>
              <w:top w:val="nil"/>
              <w:left w:val="nil"/>
              <w:bottom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 аллергических реакциях легкой и средней степени тяжести (локальная сыпь без признаков эксфолиации и вовлечения слизистых оболочек, локальный кожный зуд, эозинофилия менее 20%) рассмотреть продолжение приема препарата на фоне десенсибилизирующей терапии, в том числе местно при зуде и кожных поражениях; при прогрессировании симптомов отменить препарат. Возможна попытка десенситизации после полного купирования симптомов (назначения препарата в минимальной стартовой дозе с постепенным наращиванием, на фоне десенсибилизирующей терапии под контролем врача - аллерголога-иммунолога);</w:t>
            </w:r>
          </w:p>
        </w:tc>
      </w:tr>
      <w:tr w:rsidR="00414991" w:rsidRPr="00C44A1E">
        <w:tblPrEx>
          <w:tblBorders>
            <w:insideH w:val="none" w:sz="0" w:space="0" w:color="auto"/>
          </w:tblBorders>
        </w:tblPrEx>
        <w:tc>
          <w:tcPr>
            <w:tcW w:w="1757"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628" w:type="dxa"/>
            <w:vMerge/>
            <w:tcBorders>
              <w:top w:val="single" w:sz="4" w:space="0" w:color="auto"/>
              <w:bottom w:val="single" w:sz="4" w:space="0" w:color="auto"/>
            </w:tcBorders>
          </w:tcPr>
          <w:p w:rsidR="00414991" w:rsidRPr="00C44A1E" w:rsidRDefault="00414991">
            <w:pPr>
              <w:rPr>
                <w:rFonts w:ascii="Times New Roman" w:hAnsi="Times New Roman" w:cs="Times New Roman"/>
                <w:sz w:val="24"/>
                <w:szCs w:val="24"/>
              </w:rPr>
            </w:pPr>
          </w:p>
        </w:tc>
        <w:tc>
          <w:tcPr>
            <w:tcW w:w="340" w:type="dxa"/>
            <w:tcBorders>
              <w:top w:val="nil"/>
              <w:bottom w:val="single" w:sz="4" w:space="0" w:color="auto"/>
              <w:right w:val="nil"/>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w:t>
            </w:r>
          </w:p>
        </w:tc>
        <w:tc>
          <w:tcPr>
            <w:tcW w:w="5613" w:type="dxa"/>
            <w:tcBorders>
              <w:top w:val="nil"/>
              <w:left w:val="nil"/>
              <w:bottom w:val="single" w:sz="4" w:space="0" w:color="auto"/>
            </w:tcBorders>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Исключить воздействие других аллергенов</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139" w:name="P2354"/>
      <w:bookmarkEnd w:id="139"/>
      <w:r w:rsidRPr="00C44A1E">
        <w:rPr>
          <w:rFonts w:ascii="Times New Roman" w:hAnsi="Times New Roman" w:cs="Times New Roman"/>
          <w:sz w:val="24"/>
          <w:szCs w:val="24"/>
        </w:rPr>
        <w:t>Таблица 9. Суточные дозы лекарственных препаратов, применяемых вне показаний, для детей &lt;*&gt;.</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2891"/>
        <w:gridCol w:w="1417"/>
        <w:gridCol w:w="1757"/>
        <w:gridCol w:w="1701"/>
      </w:tblGrid>
      <w:tr w:rsidR="00FC36A5" w:rsidRPr="00C44A1E">
        <w:tc>
          <w:tcPr>
            <w:tcW w:w="3402"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Препарат</w:t>
            </w:r>
          </w:p>
        </w:tc>
        <w:tc>
          <w:tcPr>
            <w:tcW w:w="4308" w:type="dxa"/>
            <w:gridSpan w:val="2"/>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Суточные дозы препаратов (при ежедневном приеме)</w:t>
            </w:r>
          </w:p>
        </w:tc>
        <w:tc>
          <w:tcPr>
            <w:tcW w:w="175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Путь введения</w:t>
            </w:r>
          </w:p>
        </w:tc>
        <w:tc>
          <w:tcPr>
            <w:tcW w:w="170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Длительность применения</w:t>
            </w:r>
          </w:p>
        </w:tc>
      </w:tr>
      <w:tr w:rsidR="00FC36A5" w:rsidRPr="00C44A1E">
        <w:tc>
          <w:tcPr>
            <w:tcW w:w="3402" w:type="dxa"/>
          </w:tcPr>
          <w:p w:rsidR="00414991" w:rsidRPr="00C44A1E" w:rsidRDefault="00414991">
            <w:pPr>
              <w:spacing w:after="1" w:line="220" w:lineRule="atLeast"/>
              <w:rPr>
                <w:rFonts w:ascii="Times New Roman" w:hAnsi="Times New Roman" w:cs="Times New Roman"/>
                <w:sz w:val="24"/>
                <w:szCs w:val="24"/>
              </w:rPr>
            </w:pPr>
          </w:p>
        </w:tc>
        <w:tc>
          <w:tcPr>
            <w:tcW w:w="289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сут</w:t>
            </w:r>
          </w:p>
        </w:tc>
        <w:tc>
          <w:tcPr>
            <w:tcW w:w="141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макс, мг/сут</w:t>
            </w:r>
          </w:p>
        </w:tc>
        <w:tc>
          <w:tcPr>
            <w:tcW w:w="1757" w:type="dxa"/>
          </w:tcPr>
          <w:p w:rsidR="00414991" w:rsidRPr="00C44A1E" w:rsidRDefault="00414991">
            <w:pPr>
              <w:spacing w:after="1" w:line="220" w:lineRule="atLeast"/>
              <w:rPr>
                <w:rFonts w:ascii="Times New Roman" w:hAnsi="Times New Roman" w:cs="Times New Roman"/>
                <w:sz w:val="24"/>
                <w:szCs w:val="24"/>
              </w:rPr>
            </w:pPr>
          </w:p>
        </w:tc>
        <w:tc>
          <w:tcPr>
            <w:tcW w:w="1701" w:type="dxa"/>
          </w:tcPr>
          <w:p w:rsidR="00414991" w:rsidRPr="00C44A1E" w:rsidRDefault="00414991">
            <w:pPr>
              <w:spacing w:after="1" w:line="220" w:lineRule="atLeast"/>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#Этамбутол** (до 13 лет)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15 - 25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val="restart"/>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в соответствии </w:t>
            </w:r>
            <w:r w:rsidRPr="00C44A1E">
              <w:rPr>
                <w:rFonts w:ascii="Times New Roman" w:hAnsi="Times New Roman" w:cs="Times New Roman"/>
                <w:sz w:val="24"/>
                <w:szCs w:val="24"/>
              </w:rPr>
              <w:lastRenderedPageBreak/>
              <w:t>с режимом ХТ</w:t>
            </w: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#пиразинамид** (до 3 лет)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30 - 40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#протионамид** до 3 лет</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15 - 20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#этионамид** до 3 лет</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15 - 20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#Амикацин** [84, 83]</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15 - 25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w:t>
            </w:r>
            <w:proofErr w:type="gramStart"/>
            <w:r w:rsidRPr="00C44A1E">
              <w:rPr>
                <w:rFonts w:ascii="Times New Roman" w:hAnsi="Times New Roman" w:cs="Times New Roman"/>
                <w:sz w:val="24"/>
                <w:szCs w:val="24"/>
              </w:rPr>
              <w:t>м</w:t>
            </w:r>
            <w:proofErr w:type="gramEnd"/>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#Левофлоксацин**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15 - 20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750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 в/в</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#Моксифлоксацин**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10 - 15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400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 в/в</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#Циклосерин** (до 3 лет)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15 - 20 мг/кг/сут при весе от 7 до 30 кг, 10 - 15 мг/кг/сут при весе от 30 и более 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#Теризидон**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15 - 20 мг/кг/сут при весе от 7 до 30 кг, 10 - 15 мг/кг/сут при весе от 30 и более 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750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#Линезолид**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мг/кг/сут при весе 1 - 15 кг, 10 - 12 мг/кг/сут при весе &gt;= 15 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 в/в</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#Амоксициллин + #клавулановая кислота**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20 - 45 мг/кг (в пересчете на амоксициллин)</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#Имипенем + [Циластатин]** [84] не используется у детей младше 15 лет</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15 мг/кг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в/в</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#Меропенем**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20 - 40 мг/кг каждые 8 часов</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3000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в/в</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#Деламанид**</w:t>
            </w:r>
            <w:r w:rsidRPr="00C44A1E">
              <w:rPr>
                <w:rFonts w:ascii="Times New Roman" w:hAnsi="Times New Roman" w:cs="Times New Roman"/>
                <w:sz w:val="24"/>
                <w:szCs w:val="24"/>
                <w:vertAlign w:val="subscript"/>
              </w:rPr>
              <w:t>1</w:t>
            </w:r>
            <w:r w:rsidRPr="00C44A1E">
              <w:rPr>
                <w:rFonts w:ascii="Times New Roman" w:hAnsi="Times New Roman" w:cs="Times New Roman"/>
                <w:sz w:val="24"/>
                <w:szCs w:val="24"/>
              </w:rPr>
              <w:t xml:space="preserve"> [84]</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25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&gt; 10 кг и &lt; 16 кг);</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50 мг утром и 25 мг вечером (вес &gt;= 16 кг, &lt; 30 кг)</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50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&lt; 35 кг)</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100 мг 2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 (вес &gt;= 35 кг)</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#Клофазимин [84]</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Таб. 50 мг</w:t>
            </w:r>
          </w:p>
        </w:tc>
        <w:tc>
          <w:tcPr>
            <w:tcW w:w="289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2 - 5 мг/кг (при приеме 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/сут), при весе &lt; 24 кг - 3 раза в неделю, при весе &gt; 24 кг - ежедневно</w:t>
            </w:r>
          </w:p>
        </w:tc>
        <w:tc>
          <w:tcPr>
            <w:tcW w:w="141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100 мг</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#Бедаквилин**</w:t>
            </w:r>
            <w:r w:rsidRPr="00C44A1E">
              <w:rPr>
                <w:rFonts w:ascii="Times New Roman" w:hAnsi="Times New Roman" w:cs="Times New Roman"/>
                <w:sz w:val="24"/>
                <w:szCs w:val="24"/>
                <w:vertAlign w:val="subscript"/>
              </w:rPr>
              <w:t>2</w:t>
            </w:r>
            <w:r w:rsidRPr="00C44A1E">
              <w:rPr>
                <w:rFonts w:ascii="Times New Roman" w:hAnsi="Times New Roman" w:cs="Times New Roman"/>
                <w:sz w:val="24"/>
                <w:szCs w:val="24"/>
              </w:rPr>
              <w:t xml:space="preserve"> [84, 139]</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Таб. 100 мг</w:t>
            </w:r>
          </w:p>
        </w:tc>
        <w:tc>
          <w:tcPr>
            <w:tcW w:w="4308" w:type="dxa"/>
            <w:gridSpan w:val="2"/>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Вес &gt;= 3 кг &lt; 7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3 и более мес.); Вес &gt;= 7 кг &lt; 10 кг - 30 мг в течение 2 нед.; затем 10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/нед. (пн, ср, пт) в течение 22 недель (возраст от 0 до 3 мес), 60 мг в течение 2 нед.; затем 20 мг 3 р/нед. (пн, ср, пт) в течение 22 недель (возраст от 3 до 6 мес), 80 мг в течение 2 нед.; затем 40 мг 3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/нед. (пн, ср, пт) в течение 22 недель (возраст 6 мес. и старше), Вес &gt;= 10 кг &lt; 16 кг - 60 мг в течение 2 нед.; затем 20 мг 3 р/нед. (пн, ср, пт) в течение 22 недель (возраст от 3 до 6 мес), 120 мг в течение 2 нед.; затем 60 мг 3 р/нед. (</w:t>
            </w:r>
            <w:proofErr w:type="gramStart"/>
            <w:r w:rsidRPr="00C44A1E">
              <w:rPr>
                <w:rFonts w:ascii="Times New Roman" w:hAnsi="Times New Roman" w:cs="Times New Roman"/>
                <w:sz w:val="24"/>
                <w:szCs w:val="24"/>
              </w:rPr>
              <w:t>пн</w:t>
            </w:r>
            <w:proofErr w:type="gramEnd"/>
            <w:r w:rsidRPr="00C44A1E">
              <w:rPr>
                <w:rFonts w:ascii="Times New Roman" w:hAnsi="Times New Roman" w:cs="Times New Roman"/>
                <w:sz w:val="24"/>
                <w:szCs w:val="24"/>
              </w:rPr>
              <w:t xml:space="preserve">, ср, пт) в течение 22 недель (возраст 6 мес. и старше); Вес &gt;= </w:t>
            </w:r>
            <w:r w:rsidRPr="00C44A1E">
              <w:rPr>
                <w:rFonts w:ascii="Times New Roman" w:hAnsi="Times New Roman" w:cs="Times New Roman"/>
                <w:sz w:val="24"/>
                <w:szCs w:val="24"/>
              </w:rPr>
              <w:lastRenderedPageBreak/>
              <w:t>16 кг &lt; 30 кг - 200 мг в течение 2 нед.; затем 100 мг 3 р/нед. (пн, ср, пт) в течение 22 недель; Вес &gt;= 30 кг - 400 мг ежедневно в первые 2 недели, затем 200 мг 3 р/нед. (пн, ср, пт)</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внутрь, 1 раз в сутки с 3 недели перерыв между приемом препарата не менее 48 часов</w:t>
            </w:r>
          </w:p>
        </w:tc>
        <w:tc>
          <w:tcPr>
            <w:tcW w:w="1701" w:type="dxa"/>
            <w:vMerge/>
          </w:tcPr>
          <w:p w:rsidR="00414991" w:rsidRPr="00C44A1E" w:rsidRDefault="00414991">
            <w:pPr>
              <w:rPr>
                <w:rFonts w:ascii="Times New Roman" w:hAnsi="Times New Roman" w:cs="Times New Roman"/>
                <w:sz w:val="24"/>
                <w:szCs w:val="24"/>
              </w:rPr>
            </w:pPr>
          </w:p>
        </w:tc>
      </w:tr>
      <w:tr w:rsidR="00FC36A5" w:rsidRPr="00C44A1E">
        <w:tc>
          <w:tcPr>
            <w:tcW w:w="34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#Претоманид [84, 139]</w:t>
            </w:r>
          </w:p>
        </w:tc>
        <w:tc>
          <w:tcPr>
            <w:tcW w:w="4308" w:type="dxa"/>
            <w:gridSpan w:val="2"/>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с 14 лет: 200 мг 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/день</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внутрь</w:t>
            </w:r>
          </w:p>
        </w:tc>
        <w:tc>
          <w:tcPr>
            <w:tcW w:w="170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6 мес.</w:t>
            </w:r>
          </w:p>
        </w:tc>
      </w:tr>
    </w:tbl>
    <w:p w:rsidR="00414991" w:rsidRPr="00C44A1E" w:rsidRDefault="00414991">
      <w:pPr>
        <w:rPr>
          <w:rFonts w:ascii="Times New Roman" w:hAnsi="Times New Roman" w:cs="Times New Roman"/>
          <w:sz w:val="24"/>
          <w:szCs w:val="24"/>
        </w:rPr>
        <w:sectPr w:rsidR="00414991" w:rsidRPr="00C44A1E">
          <w:pgSz w:w="16838" w:h="11905" w:orient="landscape"/>
          <w:pgMar w:top="1701" w:right="1134" w:bottom="850" w:left="1134" w:header="0" w:footer="0" w:gutter="0"/>
          <w:cols w:space="720"/>
          <w:titlePg/>
        </w:sect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bookmarkStart w:id="140" w:name="P2440"/>
      <w:bookmarkEnd w:id="140"/>
      <w:r w:rsidRPr="00C44A1E">
        <w:rPr>
          <w:rFonts w:ascii="Times New Roman" w:hAnsi="Times New Roman" w:cs="Times New Roman"/>
          <w:sz w:val="24"/>
          <w:szCs w:val="24"/>
        </w:rPr>
        <w:t>&lt;*&gt; Примечание: диапазон дозировок представлен в соответствии с инструкцией к препарату и рекомендациями ВОЗ [84]; препараты назначаются при наличии информированного согласия законного представителя пациента на их применение;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#этамбутол** детям до 13 лет назначается по решению врачебной комиссии согласно режиму химиотерапии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#амикацин** детям старше 2 лет назначается по решению врачебной комиссии, согласно режиму химиотерапии, в дозе 15 - 25 мг/кг/сут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#левофлоксацин** назначается детям по решению врачебной комиссии согласно режиму химиотерапии. Доказана безопасность применения #левофлоксацина** у детей менее 15 лет в дозе 15 - 20 мг/кг/сут в течение 6 мес., а также рекомендуется ВОЗ для лечения МЛУ туберкулеза у детей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#моксифлоксацин** назначается детям по решению врачебной комиссии согласно режиму химиотерапии. Рекомендовано применение в дозе 10 - 15 мг/кг/сут для лечения МЛУ туберкулеза у детей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#бедаквилин** назначается детям по решению врачебной комиссии согласно режиму химиотерапии в дозах, указанных в таблице 9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#линезолид** назначается детям по решению врачебной комиссии согласно режиму химиотерапии, детям менее 15 кг назначается в дозе 15 мг/кг/сут, детям более 15 кг 10 - 12 мг/кг/сут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#меропенем** и #имипенем + [Циластатин]** назначается детям по решению врачебной комиссии, согласно режиму химиотерапии, в дозе 20 - 40 мг/кг каждые 8 часов в сочетании с #амоксициллин + клавулановая кислота** в дозе 80 мг/кг/сут разделенные на 3 приема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#капреомицин** назначается детям по решению врачебной комиссии по жизненным показаниям согласно режиму химиотерапии при невозможности включения в схему других препаратов резервного ряда [13];</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#Клофазимин - назначается детям по решению врачебной комиссии согласно режиму химиотерапии [84];</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#Претоманид - назначается только в составе коротких 6-ти месячных режимов МЛУ и пре-ШЛУ ТБ [139, 140].</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bookmarkStart w:id="141" w:name="P2452"/>
      <w:bookmarkEnd w:id="141"/>
      <w:r w:rsidRPr="00C44A1E">
        <w:rPr>
          <w:rFonts w:ascii="Times New Roman" w:hAnsi="Times New Roman" w:cs="Times New Roman"/>
          <w:sz w:val="24"/>
          <w:szCs w:val="24"/>
        </w:rPr>
        <w:t>Таблица 10. Сроки санаторно-курортного лечения детей в зависимости формы туберкулеза, особенностей течения заболевания</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118"/>
        <w:gridCol w:w="2721"/>
      </w:tblGrid>
      <w:tr w:rsidR="00FC36A5" w:rsidRPr="00C44A1E">
        <w:tc>
          <w:tcPr>
            <w:tcW w:w="323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Клиническая характеристика контингентов, форма и фаза туберкулезного процесса (группа диспансерного наблюдения)</w:t>
            </w:r>
          </w:p>
        </w:tc>
        <w:tc>
          <w:tcPr>
            <w:tcW w:w="3118"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Задачи санаторного лечения.</w:t>
            </w:r>
          </w:p>
        </w:tc>
        <w:tc>
          <w:tcPr>
            <w:tcW w:w="2721"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Сроки лечения (в мес.)</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Показатели эффективности лечения</w:t>
            </w:r>
          </w:p>
        </w:tc>
      </w:tr>
      <w:tr w:rsidR="00FC36A5" w:rsidRPr="00C44A1E">
        <w:tc>
          <w:tcPr>
            <w:tcW w:w="32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Все формы туберкулеза </w:t>
            </w:r>
            <w:r w:rsidRPr="00C44A1E">
              <w:rPr>
                <w:rFonts w:ascii="Times New Roman" w:hAnsi="Times New Roman" w:cs="Times New Roman"/>
                <w:sz w:val="24"/>
                <w:szCs w:val="24"/>
              </w:rPr>
              <w:lastRenderedPageBreak/>
              <w:t>органов дыхания, внелегочного туберкулеза без бактериовыделения (интенсивная фаза и/или фаза продолжения лечения) (I группа учета)</w:t>
            </w:r>
          </w:p>
        </w:tc>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 xml:space="preserve">Противотуберкулезное </w:t>
            </w:r>
            <w:r w:rsidRPr="00C44A1E">
              <w:rPr>
                <w:rFonts w:ascii="Times New Roman" w:hAnsi="Times New Roman" w:cs="Times New Roman"/>
                <w:sz w:val="24"/>
                <w:szCs w:val="24"/>
              </w:rPr>
              <w:lastRenderedPageBreak/>
              <w:t>лечение в комплексе с патогенетическими средствами, климатотерапией, лечебной физкультурой и физическими методами. Подготовка к оперативному вмешательству - при показаниях.</w:t>
            </w:r>
          </w:p>
        </w:tc>
        <w:tc>
          <w:tcPr>
            <w:tcW w:w="272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2 - 6 мес.</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Минимальные остаточные изменения, восстановление функции дыхания, ликвидация признаков активности туберкулеза, достижение клинического излечения</w:t>
            </w:r>
          </w:p>
        </w:tc>
      </w:tr>
      <w:tr w:rsidR="00FC36A5" w:rsidRPr="00C44A1E">
        <w:tc>
          <w:tcPr>
            <w:tcW w:w="32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Состояние после хирургических вмешательств по поводу туберкулеза органов дыхания (I ГДН)</w:t>
            </w:r>
          </w:p>
        </w:tc>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Продолжение лечения противотуберкулезными препаратами, патогенетическими средствами, климатотерапией, лечебной физкультурой и физическими методами.</w:t>
            </w:r>
          </w:p>
        </w:tc>
        <w:tc>
          <w:tcPr>
            <w:tcW w:w="272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2 - 6 мес.</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Восстановление функции дыхания, достижение клинического излечения.</w:t>
            </w:r>
          </w:p>
        </w:tc>
      </w:tr>
      <w:tr w:rsidR="00FC36A5" w:rsidRPr="00C44A1E">
        <w:tc>
          <w:tcPr>
            <w:tcW w:w="3231"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Клинически излеченный туберкулез органов дыхания (большие остаточные изменения (III ГДН)</w:t>
            </w:r>
            <w:proofErr w:type="gramEnd"/>
          </w:p>
        </w:tc>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Оздоровительные мероприятия патогенетическими средствами, климатотерапией, лечебной физкультурой и физическими методами. Химиопрофилактика рецидива туберкулеза - по показаниям</w:t>
            </w:r>
          </w:p>
        </w:tc>
        <w:tc>
          <w:tcPr>
            <w:tcW w:w="272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1 - 2 мес.</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Восстановление функции дыхания.</w:t>
            </w:r>
          </w:p>
        </w:tc>
      </w:tr>
      <w:tr w:rsidR="00FC36A5" w:rsidRPr="00C44A1E">
        <w:tc>
          <w:tcPr>
            <w:tcW w:w="32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Дети с измененной чувствительностью иммунологических проб к аллергенам туберкулезным (VI ГДН)</w:t>
            </w:r>
          </w:p>
        </w:tc>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Превентивное противотуберкулезное лечение, климатотерапия, лечебная физкультура и физические методы.</w:t>
            </w:r>
          </w:p>
        </w:tc>
        <w:tc>
          <w:tcPr>
            <w:tcW w:w="272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1 - 4 мес.</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Предупреждение заболевания.</w:t>
            </w:r>
          </w:p>
        </w:tc>
      </w:tr>
      <w:tr w:rsidR="00FC36A5" w:rsidRPr="00C44A1E">
        <w:tc>
          <w:tcPr>
            <w:tcW w:w="32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Здоровые дети из контакта с бактериовыделителями и больными активной формой туберкулеза, не выделяющими МБТ, а также из инфицированных туберкулезом хозяйств (IV ГДН).</w:t>
            </w:r>
          </w:p>
        </w:tc>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Превентивное противотуберкулезное лечение (химиопрофилактика туберкулеза), климатотерапия, лечебная физкультура и физические методы.</w:t>
            </w:r>
          </w:p>
        </w:tc>
        <w:tc>
          <w:tcPr>
            <w:tcW w:w="272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1 - 4 мес.</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Предупреждение заболевания.</w:t>
            </w:r>
          </w:p>
        </w:tc>
      </w:tr>
      <w:tr w:rsidR="00414991" w:rsidRPr="00C44A1E">
        <w:tc>
          <w:tcPr>
            <w:tcW w:w="323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Дети больные туберкулезом, вызванным заражением микобактериями вакцинного штамма БЦЖ с поражением костно-суставной системы (осложнениями после введения вакцины БЦЖ) (V ГДН) (V ГДН)</w:t>
            </w:r>
          </w:p>
        </w:tc>
        <w:tc>
          <w:tcPr>
            <w:tcW w:w="3118"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Общее и местное лечение противотуберкулезными препаратами, климатотерапия, лечебная физкультура и физические методы.</w:t>
            </w:r>
          </w:p>
        </w:tc>
        <w:tc>
          <w:tcPr>
            <w:tcW w:w="2721"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2 - 6 мес.</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Ликвидация осложнений.</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Таблица 11. Проникновение противотуберкулезных препаратов для лечения МЛУ ТБ в спинномозговую жидкость [84].</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FC36A5" w:rsidRPr="00C44A1E">
        <w:tc>
          <w:tcPr>
            <w:tcW w:w="5102"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Препараты</w:t>
            </w:r>
          </w:p>
        </w:tc>
        <w:tc>
          <w:tcPr>
            <w:tcW w:w="3969"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Проникновение в СМЖ</w:t>
            </w:r>
          </w:p>
        </w:tc>
      </w:tr>
      <w:tr w:rsidR="00FC36A5" w:rsidRPr="00C44A1E">
        <w:tc>
          <w:tcPr>
            <w:tcW w:w="51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#Левофлоксацин**, #моксифлоксацин**,</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#линезолид**, циклосерин**, этионамид**,</w:t>
            </w:r>
          </w:p>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#меропенем**, пиразинамид**</w:t>
            </w:r>
          </w:p>
        </w:tc>
        <w:tc>
          <w:tcPr>
            <w:tcW w:w="3969"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Хорошее проникновение</w:t>
            </w:r>
          </w:p>
        </w:tc>
      </w:tr>
      <w:tr w:rsidR="00FC36A5" w:rsidRPr="00C44A1E">
        <w:tc>
          <w:tcPr>
            <w:tcW w:w="51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аминосалициловая кислота, #амикацин**</w:t>
            </w:r>
          </w:p>
        </w:tc>
        <w:tc>
          <w:tcPr>
            <w:tcW w:w="3969"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Плохое проникновение, кроме случаев воспаления мозговых оболочек</w:t>
            </w:r>
          </w:p>
        </w:tc>
      </w:tr>
      <w:tr w:rsidR="00FC36A5" w:rsidRPr="00C44A1E">
        <w:tc>
          <w:tcPr>
            <w:tcW w:w="51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#Этамбутол**</w:t>
            </w:r>
          </w:p>
        </w:tc>
        <w:tc>
          <w:tcPr>
            <w:tcW w:w="3969"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Плохое проникновение</w:t>
            </w:r>
          </w:p>
        </w:tc>
      </w:tr>
      <w:tr w:rsidR="00414991" w:rsidRPr="00C44A1E">
        <w:tc>
          <w:tcPr>
            <w:tcW w:w="5102"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#Бедаквилин**, #деламанид**, #клофазимин</w:t>
            </w:r>
          </w:p>
        </w:tc>
        <w:tc>
          <w:tcPr>
            <w:tcW w:w="3969"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Объем имеющихся данных ограничен</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right"/>
        <w:outlineLvl w:val="0"/>
        <w:rPr>
          <w:rFonts w:ascii="Times New Roman" w:hAnsi="Times New Roman" w:cs="Times New Roman"/>
          <w:sz w:val="24"/>
          <w:szCs w:val="24"/>
        </w:rPr>
      </w:pPr>
      <w:r w:rsidRPr="00C44A1E">
        <w:rPr>
          <w:rFonts w:ascii="Times New Roman" w:hAnsi="Times New Roman" w:cs="Times New Roman"/>
          <w:sz w:val="24"/>
          <w:szCs w:val="24"/>
        </w:rPr>
        <w:t>Приложение</w:t>
      </w:r>
      <w:proofErr w:type="gramStart"/>
      <w:r w:rsidRPr="00C44A1E">
        <w:rPr>
          <w:rFonts w:ascii="Times New Roman" w:hAnsi="Times New Roman" w:cs="Times New Roman"/>
          <w:sz w:val="24"/>
          <w:szCs w:val="24"/>
        </w:rPr>
        <w:t xml:space="preserve"> Б</w:t>
      </w:r>
      <w:proofErr w:type="gramEnd"/>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АЛГОРИТМЫ ДЕЙСТВИЙ ВРАЧА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Алгоритм диагностики туберкулеза органов дыхания (дети)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Включает несколько этапов диагностического поиска.</w:t>
      </w:r>
    </w:p>
    <w:p w:rsidR="00414991" w:rsidRPr="00C44A1E" w:rsidRDefault="00414991">
      <w:pPr>
        <w:spacing w:after="1" w:line="220" w:lineRule="atLeast"/>
        <w:jc w:val="both"/>
        <w:rPr>
          <w:rFonts w:ascii="Times New Roman" w:hAnsi="Times New Roman" w:cs="Times New Roman"/>
          <w:sz w:val="24"/>
          <w:szCs w:val="24"/>
        </w:rPr>
      </w:pPr>
    </w:p>
    <w:p w:rsidR="00CE1395" w:rsidRPr="00CE1395" w:rsidRDefault="00CE1395" w:rsidP="00CE1395">
      <w:pPr>
        <w:shd w:val="clear" w:color="auto" w:fill="DBE5F1" w:themeFill="accent1" w:themeFillTint="33"/>
        <w:spacing w:after="1"/>
        <w:rPr>
          <w:rFonts w:ascii="Times New Roman" w:hAnsi="Times New Roman" w:cs="Times New Roman"/>
          <w:b/>
          <w:i/>
          <w:sz w:val="24"/>
          <w:szCs w:val="24"/>
        </w:rPr>
      </w:pPr>
      <w:r w:rsidRPr="00CE1395">
        <w:rPr>
          <w:rFonts w:ascii="Times New Roman" w:hAnsi="Times New Roman" w:cs="Times New Roman"/>
          <w:b/>
          <w:i/>
          <w:sz w:val="24"/>
          <w:szCs w:val="24"/>
        </w:rPr>
        <w:t>Нумерация подпунктов соо</w:t>
      </w:r>
      <w:r>
        <w:rPr>
          <w:rFonts w:ascii="Times New Roman" w:hAnsi="Times New Roman" w:cs="Times New Roman"/>
          <w:b/>
          <w:i/>
          <w:sz w:val="24"/>
          <w:szCs w:val="24"/>
        </w:rPr>
        <w:t xml:space="preserve">тветствует </w:t>
      </w:r>
      <w:r w:rsidRPr="00CE1395">
        <w:rPr>
          <w:rFonts w:ascii="Times New Roman" w:hAnsi="Times New Roman" w:cs="Times New Roman"/>
          <w:b/>
          <w:i/>
          <w:sz w:val="24"/>
          <w:szCs w:val="24"/>
        </w:rPr>
        <w:t>официальному тексту документа</w:t>
      </w:r>
    </w:p>
    <w:p w:rsidR="00414991" w:rsidRPr="00C44A1E" w:rsidRDefault="00414991">
      <w:pPr>
        <w:spacing w:before="280"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1.1. Отбор лиц с риском развития туберкулеза в учреждениях первичной медико-санитарной помощи (ПМСП)</w:t>
      </w:r>
    </w:p>
    <w:p w:rsidR="00414991" w:rsidRPr="00C44A1E" w:rsidRDefault="00414991">
      <w:pPr>
        <w:spacing w:before="220" w:after="1" w:line="220" w:lineRule="atLeast"/>
        <w:ind w:firstLine="540"/>
        <w:jc w:val="both"/>
        <w:rPr>
          <w:rFonts w:ascii="Times New Roman" w:hAnsi="Times New Roman" w:cs="Times New Roman"/>
          <w:sz w:val="24"/>
          <w:szCs w:val="24"/>
        </w:rPr>
      </w:pPr>
      <w:proofErr w:type="gramStart"/>
      <w:r w:rsidRPr="00C44A1E">
        <w:rPr>
          <w:rFonts w:ascii="Times New Roman" w:hAnsi="Times New Roman" w:cs="Times New Roman"/>
          <w:sz w:val="24"/>
          <w:szCs w:val="24"/>
        </w:rPr>
        <w:t>Выявление туберкулеза у детей осуществляется профилактически &lt;9&gt;. С этой целью в России проводится ежегодный скрининг на туберкулез детского населения методом иммунодиагностики и флюорографического (рентгенологического) обследования: до 7 лет включительно проводят внутрикожную пробу с туберкулезным аллергеном с аллергенами бактерий** (проба Манту с 2 ТЕ), с 8 до 14 лет включительно - внутрикожную пробу с туберкулезным аллергеном с аллергеном туберкулезным рекомбинантным (АТР)**, с</w:t>
      </w:r>
      <w:proofErr w:type="gramEnd"/>
      <w:r w:rsidRPr="00C44A1E">
        <w:rPr>
          <w:rFonts w:ascii="Times New Roman" w:hAnsi="Times New Roman" w:cs="Times New Roman"/>
          <w:sz w:val="24"/>
          <w:szCs w:val="24"/>
        </w:rPr>
        <w:t xml:space="preserve"> 15 до 17 лет включительно - внутрикожную пробу с туберкулезным аллергеном с АТР** или флюорографию (рентгенографию) легких. Могут учитываться результаты исследования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на антигены Mycobacterium tuberculosis complex в крови (IGRA-тесты) проведенные в сроки проведения профилактических осмотров.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&lt;9&gt; Приказ Министерства здравоохранения РФ от 11 апреля 2025 г. N 190н "Об утверждении порядка и сроков проведения профилактических медицинских осмотров граждан в целях выявления туберкулеза"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По результатам профилактического осмотра к врачу-фтизиатру направляют лиц с подозрением на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анормальные реакции на иммунодиагностические тесты (положительные и сомнительные реакции на внутрикожную пробу с туберкулезным аллергеном с АТР**, положительные или сомнительные результаты исследования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на антигены Mycobacterium tuberculosis complex в крови (IGRA-тесты), впервые положительные или усиливающиеся реакции на внутрикожную пробу с туберкулезным аллергеном с аллергенами бактерий** (пробу Манту с 2ТЕ);</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патологические изменения на флюорограмме (рентгенограмме) легких.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наличии клинических симптомов, подозрительных на туберкулез, независимо от результатов иммунодиагностических проб.</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1"/>
        <w:rPr>
          <w:rFonts w:ascii="Times New Roman" w:hAnsi="Times New Roman" w:cs="Times New Roman"/>
          <w:sz w:val="24"/>
          <w:szCs w:val="24"/>
        </w:rPr>
      </w:pPr>
      <w:r w:rsidRPr="00C44A1E">
        <w:rPr>
          <w:rFonts w:ascii="Times New Roman" w:hAnsi="Times New Roman" w:cs="Times New Roman"/>
          <w:b/>
          <w:sz w:val="24"/>
          <w:szCs w:val="24"/>
        </w:rPr>
        <w:t>1.2. Дообследование в условиях специализированной противотуберкулезной службы.</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Пациенты, отобранные на первом этапе, подлежат тщательному обследованию у врача-фтизиатра с целью исключения или подтверждения локального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 этой целью проводятся следующие методы исследования: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Активное выяснение жалоб у ребенка (родителей):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ухудшение общего состояния,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повышение температуры тела,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жалобы, указывающие на локальное поражение органов и систем - кашель (сухой или с мокротой), боли в грудной клетке, одышку.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Тщательный сбор анамнеза: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 динамика внутрикожных проб с туберкулезным аллергеном и исследований уровня </w:t>
      </w:r>
      <w:proofErr w:type="gramStart"/>
      <w:r w:rsidRPr="00C44A1E">
        <w:rPr>
          <w:rFonts w:ascii="Times New Roman" w:hAnsi="Times New Roman" w:cs="Times New Roman"/>
          <w:sz w:val="24"/>
          <w:szCs w:val="24"/>
        </w:rPr>
        <w:t>интерферона-гамма</w:t>
      </w:r>
      <w:proofErr w:type="gramEnd"/>
      <w:r w:rsidRPr="00C44A1E">
        <w:rPr>
          <w:rFonts w:ascii="Times New Roman" w:hAnsi="Times New Roman" w:cs="Times New Roman"/>
          <w:sz w:val="24"/>
          <w:szCs w:val="24"/>
        </w:rPr>
        <w:t xml:space="preserve"> на антигены Mycobacterium tuberculosis complex в крови,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сведения о вакцинации против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контакт с больными туберкулезом (длительность, периодичность),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предыдущее лечение у врача-фтизиатра,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сопутствующая патология с заключением соответствующих специалистов,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длительное лечение какими-либо препаратами.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Обследование окружения ребенка на туберкулез является обязательным - всем членам семьи проводится флюорография легких.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Объективный осмотр:</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Выявление симптомов интоксикации, аускультация (наличие хрипов и т.д.), состояние периферических лимфатических узлов.</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Лабораторная диагностика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lastRenderedPageBreak/>
        <w:t>- анализы клинические и биохимические (общий (клинический) анализ крови, общий (клинический) анализ мочи, анализ крови биохимический общетерапевтический);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бактериологическая (этиологическая) диагностика (выявление возбудителя различными методами).</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Лучевая диагностика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Всем детям с положительной реакцией на пробу с АТР** </w:t>
      </w:r>
      <w:proofErr w:type="gramStart"/>
      <w:r w:rsidRPr="00C44A1E">
        <w:rPr>
          <w:rFonts w:ascii="Times New Roman" w:hAnsi="Times New Roman" w:cs="Times New Roman"/>
          <w:sz w:val="24"/>
          <w:szCs w:val="24"/>
        </w:rPr>
        <w:t>показана</w:t>
      </w:r>
      <w:proofErr w:type="gramEnd"/>
      <w:r w:rsidRPr="00C44A1E">
        <w:rPr>
          <w:rFonts w:ascii="Times New Roman" w:hAnsi="Times New Roman" w:cs="Times New Roman"/>
          <w:sz w:val="24"/>
          <w:szCs w:val="24"/>
        </w:rPr>
        <w:t xml:space="preserve"> СКТ легких.</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Дополнительные методы исследования (ДМИ) проводят по показаниям: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УЗИ органов грудной полости</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УЗИ органов брюшной полости (</w:t>
      </w:r>
      <w:proofErr w:type="gramStart"/>
      <w:r w:rsidRPr="00C44A1E">
        <w:rPr>
          <w:rFonts w:ascii="Times New Roman" w:hAnsi="Times New Roman" w:cs="Times New Roman"/>
          <w:sz w:val="24"/>
          <w:szCs w:val="24"/>
        </w:rPr>
        <w:t>комплексное</w:t>
      </w:r>
      <w:proofErr w:type="gramEnd"/>
      <w:r w:rsidRPr="00C44A1E">
        <w:rPr>
          <w:rFonts w:ascii="Times New Roman" w:hAnsi="Times New Roman" w:cs="Times New Roman"/>
          <w:sz w:val="24"/>
          <w:szCs w:val="24"/>
        </w:rPr>
        <w:t>) и почек.</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УЗИ лимфатических узлов.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При выявлении каких-либо изменений при проведении ДМИ ребенка необходимо проконсультировать у специалистов по внелегочному туберкулезу.</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outlineLvl w:val="2"/>
        <w:rPr>
          <w:rFonts w:ascii="Times New Roman" w:hAnsi="Times New Roman" w:cs="Times New Roman"/>
          <w:sz w:val="24"/>
          <w:szCs w:val="24"/>
        </w:rPr>
      </w:pPr>
      <w:r w:rsidRPr="00C44A1E">
        <w:rPr>
          <w:rFonts w:ascii="Times New Roman" w:hAnsi="Times New Roman" w:cs="Times New Roman"/>
          <w:b/>
          <w:sz w:val="24"/>
          <w:szCs w:val="24"/>
        </w:rPr>
        <w:t>Инвазивные методы обследования: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Трахеобронхоскопия проводится: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подозрении на туберкулез бронхиального дерева (ателектаз, наличие обширных инфильтративных изменений с деструкцией легочной ткани, бронхогенные очаги отсева, "надсадный" кашель);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необходимости верификации диагноза (трахеобронхоскопия с комплексом биопсий).</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Схема обследования при подозрении на туберкулез органов дыхания у детей представлена на рисунке 1.</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noProof/>
          <w:position w:val="-488"/>
          <w:sz w:val="24"/>
          <w:szCs w:val="24"/>
          <w:lang w:eastAsia="ru-RU"/>
        </w:rPr>
        <w:lastRenderedPageBreak/>
        <w:drawing>
          <wp:inline distT="0" distB="0" distL="0" distR="0" wp14:anchorId="7AE7D3AE" wp14:editId="2AB0A775">
            <wp:extent cx="5546090" cy="634809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5546090" cy="6348095"/>
                    </a:xfrm>
                    <a:prstGeom prst="rect">
                      <a:avLst/>
                    </a:prstGeom>
                    <a:noFill/>
                    <a:ln>
                      <a:noFill/>
                    </a:ln>
                  </pic:spPr>
                </pic:pic>
              </a:graphicData>
            </a:graphic>
          </wp:inline>
        </w:drawing>
      </w:r>
    </w:p>
    <w:p w:rsidR="00414991" w:rsidRPr="00C44A1E" w:rsidRDefault="00414991">
      <w:pPr>
        <w:spacing w:after="1" w:line="220" w:lineRule="atLeast"/>
        <w:jc w:val="both"/>
        <w:rPr>
          <w:rFonts w:ascii="Times New Roman" w:hAnsi="Times New Roman" w:cs="Times New Roman"/>
          <w:sz w:val="24"/>
          <w:szCs w:val="24"/>
        </w:rPr>
      </w:pPr>
    </w:p>
    <w:p w:rsidR="00CE1395" w:rsidRPr="00CE1395" w:rsidRDefault="00CE1395" w:rsidP="00CE1395">
      <w:pPr>
        <w:shd w:val="clear" w:color="auto" w:fill="DBE5F1" w:themeFill="accent1" w:themeFillTint="33"/>
        <w:spacing w:after="1"/>
        <w:rPr>
          <w:rFonts w:ascii="Times New Roman" w:hAnsi="Times New Roman" w:cs="Times New Roman"/>
          <w:b/>
          <w:i/>
          <w:sz w:val="24"/>
          <w:szCs w:val="24"/>
        </w:rPr>
      </w:pPr>
      <w:bookmarkStart w:id="142" w:name="P2562"/>
      <w:bookmarkEnd w:id="142"/>
      <w:r w:rsidRPr="00CE1395">
        <w:rPr>
          <w:rFonts w:ascii="Times New Roman" w:hAnsi="Times New Roman" w:cs="Times New Roman"/>
          <w:b/>
          <w:i/>
          <w:sz w:val="24"/>
          <w:szCs w:val="24"/>
        </w:rPr>
        <w:t>Нумерация подпунктов соо</w:t>
      </w:r>
      <w:r>
        <w:rPr>
          <w:rFonts w:ascii="Times New Roman" w:hAnsi="Times New Roman" w:cs="Times New Roman"/>
          <w:b/>
          <w:i/>
          <w:sz w:val="24"/>
          <w:szCs w:val="24"/>
        </w:rPr>
        <w:t xml:space="preserve">тветствует </w:t>
      </w:r>
      <w:r w:rsidRPr="00CE1395">
        <w:rPr>
          <w:rFonts w:ascii="Times New Roman" w:hAnsi="Times New Roman" w:cs="Times New Roman"/>
          <w:b/>
          <w:i/>
          <w:sz w:val="24"/>
          <w:szCs w:val="24"/>
        </w:rPr>
        <w:t>официальному тексту документа</w:t>
      </w:r>
    </w:p>
    <w:p w:rsidR="00414991" w:rsidRPr="00C44A1E" w:rsidRDefault="00414991">
      <w:pPr>
        <w:spacing w:before="280" w:after="1" w:line="220" w:lineRule="atLeast"/>
        <w:ind w:firstLine="540"/>
        <w:jc w:val="both"/>
        <w:rPr>
          <w:rFonts w:ascii="Times New Roman" w:hAnsi="Times New Roman" w:cs="Times New Roman"/>
          <w:sz w:val="24"/>
          <w:szCs w:val="24"/>
        </w:rPr>
      </w:pPr>
      <w:bookmarkStart w:id="143" w:name="_GoBack"/>
      <w:bookmarkEnd w:id="143"/>
      <w:r w:rsidRPr="00C44A1E">
        <w:rPr>
          <w:rFonts w:ascii="Times New Roman" w:hAnsi="Times New Roman" w:cs="Times New Roman"/>
          <w:sz w:val="24"/>
          <w:szCs w:val="24"/>
        </w:rPr>
        <w:t>Таблица 11. Лабораторный и инструментальный мониторинг лечения</w:t>
      </w:r>
    </w:p>
    <w:p w:rsidR="00414991" w:rsidRPr="00C44A1E" w:rsidRDefault="00414991">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1757"/>
        <w:gridCol w:w="1757"/>
      </w:tblGrid>
      <w:tr w:rsidR="00FC36A5" w:rsidRPr="00C44A1E">
        <w:tc>
          <w:tcPr>
            <w:tcW w:w="9070" w:type="dxa"/>
            <w:gridSpan w:val="3"/>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t>Лекарственно чувствительный туберкулез</w:t>
            </w:r>
          </w:p>
        </w:tc>
      </w:tr>
      <w:tr w:rsidR="00FC36A5" w:rsidRPr="00C44A1E">
        <w:tc>
          <w:tcPr>
            <w:tcW w:w="5556"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Параметры</w:t>
            </w:r>
          </w:p>
        </w:tc>
        <w:tc>
          <w:tcPr>
            <w:tcW w:w="175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Интенсивная фаза</w:t>
            </w:r>
          </w:p>
        </w:tc>
        <w:tc>
          <w:tcPr>
            <w:tcW w:w="175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Фаза продолжения</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Общий (клинический) анализ крови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9070" w:type="dxa"/>
            <w:gridSpan w:val="3"/>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Лекарственно чувствительный туберкулез</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Общий (клинический) анализ мочи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Анализ крови биохимический общетерапевтический</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мочевой кислоты в крови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Спиральная компьютерная томография легких/Компьютерная томография органов грудной полости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Микроскопическое исследование мокроты на микобактерии (Mycobacterium spp.) (или другого материала)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Микробиологическое (культуральное) исследование мокроты на микобактерии туберкулеза (Mycobacterium tuberculosis complex) (или другого материала)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Микробиологическое (культуральное) исследование для определения чувствительности (Mycobacterium tuberculosis complex) к одному препарату включая резервные на жидких питательных средах</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Микробиологическое (культуральное) исследование для определения чувствительности (Mycobacterium tuberculosis complex) к противотуберкулезным препаратам первого и второго ряда на плотных питательных средах</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Молекулярно-биологическое исследование мокроты на микобактерий туберкулеза (Mycobacterium tuberculosis) (или другого материала)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Регистрация электрокардиограммы</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9070" w:type="dxa"/>
            <w:gridSpan w:val="3"/>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Лекарственно чувствительный туберкулез</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Дистанционное наблюдение за функциональными показателями внешнего дыхания</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Ультразвуковое исследование органов брюшной полости (комплексное)</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Видеотрахеобронхоскопия</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врача-офтальмолога повторный</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месяц (при лечении E, Lzd)</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Прием (осмотр, консультация) врача-педиатра (врача-уролога, врача-оториноларинголога, врача - акушера-гинеколога, врача-хирурга, врача-гастроэнтеролога, врача-невролога, врача-эндокринолога, врача-кардиолога, врача-терапевта, врача-инфекциониста, клинического фармаколога, врача-невролога, медицинского психолога и др.) первичный</w:t>
            </w:r>
            <w:proofErr w:type="gramEnd"/>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9070" w:type="dxa"/>
            <w:gridSpan w:val="3"/>
          </w:tcPr>
          <w:p w:rsidR="00414991" w:rsidRPr="00C44A1E" w:rsidRDefault="00414991">
            <w:pPr>
              <w:spacing w:after="1" w:line="220" w:lineRule="atLeast"/>
              <w:rPr>
                <w:rFonts w:ascii="Times New Roman" w:hAnsi="Times New Roman" w:cs="Times New Roman"/>
                <w:sz w:val="24"/>
                <w:szCs w:val="24"/>
              </w:rPr>
            </w:pPr>
            <w:r w:rsidRPr="00C44A1E">
              <w:rPr>
                <w:rFonts w:ascii="Times New Roman" w:hAnsi="Times New Roman" w:cs="Times New Roman"/>
                <w:sz w:val="24"/>
                <w:szCs w:val="24"/>
              </w:rPr>
              <w:lastRenderedPageBreak/>
              <w:t>Лекарственно устойчивый туберкулез</w:t>
            </w:r>
          </w:p>
        </w:tc>
      </w:tr>
      <w:tr w:rsidR="00FC36A5" w:rsidRPr="00C44A1E">
        <w:tc>
          <w:tcPr>
            <w:tcW w:w="5556"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Параметры</w:t>
            </w:r>
          </w:p>
        </w:tc>
        <w:tc>
          <w:tcPr>
            <w:tcW w:w="175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Интенсивная фаза</w:t>
            </w:r>
          </w:p>
        </w:tc>
        <w:tc>
          <w:tcPr>
            <w:tcW w:w="1757" w:type="dxa"/>
          </w:tcPr>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sz w:val="24"/>
                <w:szCs w:val="24"/>
              </w:rPr>
              <w:t>Фаза продолжения</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Общий (клинический) анализ крови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Общий (клинический) анализ мочи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Анализ крови биохимический общетерапевтический</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мочевой кислоты в крови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калия крови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исследование уровня альбумина в крови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9070" w:type="dxa"/>
            <w:gridSpan w:val="3"/>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Лекарственно чувствительный туберкулез</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Спиральная компьютерная томография легких/Компьютерная томография органов грудной полости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3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Микроскопическое исследование мокроты на микобактерии (Mycobacterium spp.) (или другого материала)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Микробиологическое (культуральное) исследование мокроты на микобактерии туберкулеза (Mycobacterium tuberculosis complex) (или другого материала)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Микробиологическое (культуральное) исследование для определения чувствительности (Mycobacterium tuberculosis complex) к одному препарату включая резервные на жидких питательных средах</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Микробиологическое (культуральное) исследование для определения чувствительности (Mycobacterium tuberculosis complex) к противотуберкулезным препаратам первого и второго ряда на плотных питательных средах</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Молекулярно-биологическое исследование мокроты на микобактерий туберкулеза (Mycobacterium tuberculosis) (или другого материала)</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Регистрация электрокардиограммы (ЭКГ) (с расчетом интервала QT, QTc)</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2 месяца</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Дистанционное наблюдение за функциональными показателями внешнего дыхания</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Ультразвуковое исследование органов брюшной полости (комплексное)</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9070" w:type="dxa"/>
            <w:gridSpan w:val="3"/>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lastRenderedPageBreak/>
              <w:t>Лекарственно чувствительный туберкулез</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Видеотрахеобронхоскопия</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врача-офтальмолога повторный</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месяц (при лечении E, Lzd)</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FC36A5"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Прием (осмотр, консультация) врача-оториноларинголога первичный, речевая аудиометрия</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 xml:space="preserve">1 </w:t>
            </w:r>
            <w:proofErr w:type="gramStart"/>
            <w:r w:rsidRPr="00C44A1E">
              <w:rPr>
                <w:rFonts w:ascii="Times New Roman" w:hAnsi="Times New Roman" w:cs="Times New Roman"/>
                <w:sz w:val="24"/>
                <w:szCs w:val="24"/>
              </w:rPr>
              <w:t>р</w:t>
            </w:r>
            <w:proofErr w:type="gramEnd"/>
            <w:r w:rsidRPr="00C44A1E">
              <w:rPr>
                <w:rFonts w:ascii="Times New Roman" w:hAnsi="Times New Roman" w:cs="Times New Roman"/>
                <w:sz w:val="24"/>
                <w:szCs w:val="24"/>
              </w:rPr>
              <w:t xml:space="preserve"> в месяц (при лечении инъекционными препаратами)</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r w:rsidR="00414991" w:rsidRPr="00C44A1E">
        <w:tc>
          <w:tcPr>
            <w:tcW w:w="5556" w:type="dxa"/>
          </w:tcPr>
          <w:p w:rsidR="00414991" w:rsidRPr="00C44A1E" w:rsidRDefault="00414991">
            <w:pPr>
              <w:spacing w:after="1" w:line="220" w:lineRule="atLeast"/>
              <w:jc w:val="both"/>
              <w:rPr>
                <w:rFonts w:ascii="Times New Roman" w:hAnsi="Times New Roman" w:cs="Times New Roman"/>
                <w:sz w:val="24"/>
                <w:szCs w:val="24"/>
              </w:rPr>
            </w:pPr>
            <w:proofErr w:type="gramStart"/>
            <w:r w:rsidRPr="00C44A1E">
              <w:rPr>
                <w:rFonts w:ascii="Times New Roman" w:hAnsi="Times New Roman" w:cs="Times New Roman"/>
                <w:sz w:val="24"/>
                <w:szCs w:val="24"/>
              </w:rPr>
              <w:t>Прием (осмотр, консультация) врача-педиатра (врача-уролога, врача-оториноларинголога, врача - акушера-гинеколога, врача-хирурга, врача-гастроэнтеролога, врача-невролога, врача-эндокринолога, врача-кардиолога, врача-терапевта, врача-инфекциониста, клинического фармаколога, врача-невролога, медицинского психолога и др.) первичный</w:t>
            </w:r>
            <w:proofErr w:type="gramEnd"/>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c>
          <w:tcPr>
            <w:tcW w:w="1757" w:type="dxa"/>
          </w:tcPr>
          <w:p w:rsidR="00414991" w:rsidRPr="00C44A1E" w:rsidRDefault="00414991">
            <w:pPr>
              <w:spacing w:after="1" w:line="220" w:lineRule="atLeast"/>
              <w:jc w:val="both"/>
              <w:rPr>
                <w:rFonts w:ascii="Times New Roman" w:hAnsi="Times New Roman" w:cs="Times New Roman"/>
                <w:sz w:val="24"/>
                <w:szCs w:val="24"/>
              </w:rPr>
            </w:pPr>
            <w:r w:rsidRPr="00C44A1E">
              <w:rPr>
                <w:rFonts w:ascii="Times New Roman" w:hAnsi="Times New Roman" w:cs="Times New Roman"/>
                <w:sz w:val="24"/>
                <w:szCs w:val="24"/>
              </w:rPr>
              <w:t>По показаниям</w:t>
            </w:r>
          </w:p>
        </w:tc>
      </w:tr>
    </w:tbl>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right"/>
        <w:outlineLvl w:val="0"/>
        <w:rPr>
          <w:rFonts w:ascii="Times New Roman" w:hAnsi="Times New Roman" w:cs="Times New Roman"/>
          <w:sz w:val="24"/>
          <w:szCs w:val="24"/>
        </w:rPr>
      </w:pPr>
      <w:r w:rsidRPr="00C44A1E">
        <w:rPr>
          <w:rFonts w:ascii="Times New Roman" w:hAnsi="Times New Roman" w:cs="Times New Roman"/>
          <w:sz w:val="24"/>
          <w:szCs w:val="24"/>
        </w:rPr>
        <w:t>Приложение</w:t>
      </w:r>
      <w:proofErr w:type="gramStart"/>
      <w:r w:rsidRPr="00C44A1E">
        <w:rPr>
          <w:rFonts w:ascii="Times New Roman" w:hAnsi="Times New Roman" w:cs="Times New Roman"/>
          <w:sz w:val="24"/>
          <w:szCs w:val="24"/>
        </w:rPr>
        <w:t xml:space="preserve"> В</w:t>
      </w:r>
      <w:proofErr w:type="gramEnd"/>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ИНФОРМАЦИЯ ДЛЯ ПАЦИЕНТА</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Что такое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заразен и опасен. Туберкулез - это инфекционное заболевание, которое передается от больного человека, выделяющего микобактерии (палочка Коха), в окружающую среду. Туберкулез чаще поражает легкие, у детей - внутригрудные лимфатические узлы, но также может развиваться и в других органах (например: костях, мозгу, почках).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Как вы могли заразиться туберкулезом?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Пути проникновения инфекции чаще всего - дыхательные пути, когда микробы в огромном количестве попадают с капельками слизи и мокроты, которые выделяют больные туберкулезом взрослые и подростки при чихании, кашле, разговоре. Микобактерии устойчивы к воздействию внешних факторов и длительное время сохраняются во внешней среде. Больной заразной формой туберкулеза, не получающий необходимое лечение, заражает примерно 10 - 15 человек в год. Для детей особо опасными являются больные туберкулезом родственники (мамы, папы, бабушки, дедушки и т.д.) Реже заразиться туберкулезом можно при употреблении в пищу молочных продуктов от больных туберкулезом животных.</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Когда развивается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При попадании туберкулезной палочки в организм, начинается "борьба" между микробом и организмом. Защитные силы организма (иммунитет) в большинстве случаев </w:t>
      </w:r>
      <w:r w:rsidRPr="00C44A1E">
        <w:rPr>
          <w:rFonts w:ascii="Times New Roman" w:hAnsi="Times New Roman" w:cs="Times New Roman"/>
          <w:sz w:val="24"/>
          <w:szCs w:val="24"/>
        </w:rPr>
        <w:lastRenderedPageBreak/>
        <w:t>не дают туберкулезу развиться. Поэтому микобактерии туберкулеза могут находиться в "спящем состоянии" в вашем организме долгое время, не приводя к болезни. Но если иммунитет ослаблен, или инфекция массивная и постоянно поступает в организм ребенка (при контакте), то в итоге развивается заболевание -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Как проявляется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у детей может начинаться и протекать бессимптомно. У части пациентов на начальных стадиях развития болезни признаки туберкулеза напоминают простудное заболевание. В большинстве случаев болезнь развивается постепенно и по мере ее развития может появиться:</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Повышенная утомляемость;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Неподдающийся лечению кашель (в течение 2 - 3-х недель); Снижение аппетита;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Потеря веса; Раздражительность, плохой сон;</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Повышение температуры тела по вечерам (чаще 37,5 - 37,6); Ночная потливость;</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При появлении симптомов заболевания необходимо обратиться к врачу!</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Как выявляют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У детей туберкулез выявляют с помощью иммунодиагностических проб. Ежегодно, начиная с одного года, детям проводят туберкулинодиагностику (пробу Манту с 2 ТЕ), с 8 лет - аллерген туберкулезный рекомбинантный в стандартном разведении** (АТР). Затем по результатам проб проводят рентгенологическое обследование. Иммунодиагностические пробы необходимо делать для раннего выявления туберкулеза, так как начальные его стадии протекают бессимптомно.</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Как лечить туберкулез?</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Туберкулез - серьезное заболевание, требующее тщательного и длительного лечения под наблюдением специалиста (врача-фтизиатра). Лечение длительное - 6 и более месяцев. При регулярном приеме препаратов туберкулез излечим.</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Во время проведения курса лечения Ваш врач будет контролировать переносимость противотуберкулезных препаратов, в анализах крови ежемесячно смотреть билирубин и ферменты печени. При появлении жалоб на тошноту, рвоту анализы назначают внепланово, врач корректирует назначение препаратов.</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Профилактика туберкулеза</w:t>
      </w:r>
    </w:p>
    <w:p w:rsidR="00414991" w:rsidRPr="00C44A1E" w:rsidRDefault="00414991">
      <w:pPr>
        <w:spacing w:before="220"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 xml:space="preserve">Профилактика туберкулеза начинается в родильном доме. Здоровым новорожденным вводят вакцину против туберкулеза на 3 сутки от рождения. Вакцина предохраняет детей раннего возраста от туберкулезного менингита, развитие которого </w:t>
      </w:r>
      <w:proofErr w:type="gramStart"/>
      <w:r w:rsidRPr="00C44A1E">
        <w:rPr>
          <w:rFonts w:ascii="Times New Roman" w:hAnsi="Times New Roman" w:cs="Times New Roman"/>
          <w:sz w:val="24"/>
          <w:szCs w:val="24"/>
        </w:rPr>
        <w:t>у</w:t>
      </w:r>
      <w:proofErr w:type="gramEnd"/>
      <w:r w:rsidRPr="00C44A1E">
        <w:rPr>
          <w:rFonts w:ascii="Times New Roman" w:hAnsi="Times New Roman" w:cs="Times New Roman"/>
          <w:sz w:val="24"/>
          <w:szCs w:val="24"/>
        </w:rPr>
        <w:t xml:space="preserve"> не вакцинированных приводит к летальному исходу. В очаге туберкулезной инфекции (больны родственники) необходимо проводить следующие мероприятия: постоянная влажная уборка, изоляция больного или ребенка от больного (санаторий), заключительная дезинфекция после изоляции больного. Детям из контакта назначают профилактическое противотуберкулезное лечение на 3 - 6 месяцев для предупреждения развития заболевания.</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right"/>
        <w:outlineLvl w:val="0"/>
        <w:rPr>
          <w:rFonts w:ascii="Times New Roman" w:hAnsi="Times New Roman" w:cs="Times New Roman"/>
          <w:sz w:val="24"/>
          <w:szCs w:val="24"/>
        </w:rPr>
      </w:pPr>
      <w:r w:rsidRPr="00C44A1E">
        <w:rPr>
          <w:rFonts w:ascii="Times New Roman" w:hAnsi="Times New Roman" w:cs="Times New Roman"/>
          <w:sz w:val="24"/>
          <w:szCs w:val="24"/>
        </w:rPr>
        <w:t>Приложение Г</w:t>
      </w:r>
      <w:proofErr w:type="gramStart"/>
      <w:r w:rsidRPr="00C44A1E">
        <w:rPr>
          <w:rFonts w:ascii="Times New Roman" w:hAnsi="Times New Roman" w:cs="Times New Roman"/>
          <w:sz w:val="24"/>
          <w:szCs w:val="24"/>
        </w:rPr>
        <w:t>1</w:t>
      </w:r>
      <w:proofErr w:type="gramEnd"/>
      <w:r w:rsidRPr="00C44A1E">
        <w:rPr>
          <w:rFonts w:ascii="Times New Roman" w:hAnsi="Times New Roman" w:cs="Times New Roman"/>
          <w:sz w:val="24"/>
          <w:szCs w:val="24"/>
        </w:rPr>
        <w:t xml:space="preserve"> - ГN</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ШКАЛЫ ОЦЕНКИ, ВОПРОСНИКИ И ДРУГИЕ ОЦЕНОЧНЫЕ ИНСТРУМЕНТЫ</w:t>
      </w:r>
    </w:p>
    <w:p w:rsidR="00414991" w:rsidRPr="00C44A1E" w:rsidRDefault="00414991">
      <w:pPr>
        <w:spacing w:after="1" w:line="220" w:lineRule="atLeast"/>
        <w:jc w:val="center"/>
        <w:rPr>
          <w:rFonts w:ascii="Times New Roman" w:hAnsi="Times New Roman" w:cs="Times New Roman"/>
          <w:sz w:val="24"/>
          <w:szCs w:val="24"/>
        </w:rPr>
      </w:pPr>
      <w:r w:rsidRPr="00C44A1E">
        <w:rPr>
          <w:rFonts w:ascii="Times New Roman" w:hAnsi="Times New Roman" w:cs="Times New Roman"/>
          <w:b/>
          <w:sz w:val="24"/>
          <w:szCs w:val="24"/>
        </w:rPr>
        <w:t>СОСТОЯНИЯ ПАЦИЕНТА, ПРИВЕДЕННЫЕ В КЛИНИЧЕСКИХ РЕКОМЕНДАЦИЯХ</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ind w:firstLine="540"/>
        <w:jc w:val="both"/>
        <w:rPr>
          <w:rFonts w:ascii="Times New Roman" w:hAnsi="Times New Roman" w:cs="Times New Roman"/>
          <w:sz w:val="24"/>
          <w:szCs w:val="24"/>
        </w:rPr>
      </w:pPr>
      <w:r w:rsidRPr="00C44A1E">
        <w:rPr>
          <w:rFonts w:ascii="Times New Roman" w:hAnsi="Times New Roman" w:cs="Times New Roman"/>
          <w:sz w:val="24"/>
          <w:szCs w:val="24"/>
        </w:rPr>
        <w:t>Информация отсутствует.</w:t>
      </w:r>
    </w:p>
    <w:p w:rsidR="00414991" w:rsidRPr="00C44A1E" w:rsidRDefault="00414991">
      <w:pPr>
        <w:spacing w:after="1" w:line="220" w:lineRule="atLeast"/>
        <w:jc w:val="both"/>
        <w:rPr>
          <w:rFonts w:ascii="Times New Roman" w:hAnsi="Times New Roman" w:cs="Times New Roman"/>
          <w:sz w:val="24"/>
          <w:szCs w:val="24"/>
        </w:rPr>
      </w:pPr>
    </w:p>
    <w:p w:rsidR="00414991" w:rsidRPr="00C44A1E" w:rsidRDefault="00414991">
      <w:pPr>
        <w:spacing w:after="1" w:line="220" w:lineRule="atLeast"/>
        <w:jc w:val="both"/>
        <w:rPr>
          <w:rFonts w:ascii="Times New Roman" w:hAnsi="Times New Roman" w:cs="Times New Roman"/>
          <w:sz w:val="24"/>
          <w:szCs w:val="24"/>
        </w:rPr>
      </w:pPr>
    </w:p>
    <w:sectPr w:rsidR="00414991" w:rsidRPr="00C44A1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14991"/>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6154F"/>
    <w:rsid w:val="0087456A"/>
    <w:rsid w:val="008A6C76"/>
    <w:rsid w:val="008B42FC"/>
    <w:rsid w:val="008F54BB"/>
    <w:rsid w:val="009407FF"/>
    <w:rsid w:val="00A15F2B"/>
    <w:rsid w:val="00A842C2"/>
    <w:rsid w:val="00A9535D"/>
    <w:rsid w:val="00AD1FA0"/>
    <w:rsid w:val="00AF2C05"/>
    <w:rsid w:val="00B415B2"/>
    <w:rsid w:val="00B70054"/>
    <w:rsid w:val="00B710FE"/>
    <w:rsid w:val="00C44A1E"/>
    <w:rsid w:val="00CA0B3A"/>
    <w:rsid w:val="00CA5722"/>
    <w:rsid w:val="00CC0FA2"/>
    <w:rsid w:val="00CC16F0"/>
    <w:rsid w:val="00CC5681"/>
    <w:rsid w:val="00CE1395"/>
    <w:rsid w:val="00D35B2D"/>
    <w:rsid w:val="00DD644C"/>
    <w:rsid w:val="00DE45D3"/>
    <w:rsid w:val="00E461F4"/>
    <w:rsid w:val="00E95B63"/>
    <w:rsid w:val="00EF6805"/>
    <w:rsid w:val="00F22D97"/>
    <w:rsid w:val="00F54EA2"/>
    <w:rsid w:val="00F879C5"/>
    <w:rsid w:val="00F87B30"/>
    <w:rsid w:val="00FA6275"/>
    <w:rsid w:val="00FC36A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card-text">
    <w:name w:val="card-tex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9407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94272">
      <w:bodyDiv w:val="1"/>
      <w:marLeft w:val="0"/>
      <w:marRight w:val="0"/>
      <w:marTop w:val="0"/>
      <w:marBottom w:val="0"/>
      <w:divBdr>
        <w:top w:val="none" w:sz="0" w:space="0" w:color="auto"/>
        <w:left w:val="none" w:sz="0" w:space="0" w:color="auto"/>
        <w:bottom w:val="none" w:sz="0" w:space="0" w:color="auto"/>
        <w:right w:val="none" w:sz="0" w:space="0" w:color="auto"/>
      </w:divBdr>
      <w:divsChild>
        <w:div w:id="271057760">
          <w:marLeft w:val="0"/>
          <w:marRight w:val="0"/>
          <w:marTop w:val="0"/>
          <w:marBottom w:val="0"/>
          <w:divBdr>
            <w:top w:val="single" w:sz="6" w:space="0" w:color="auto"/>
            <w:left w:val="single" w:sz="6" w:space="0" w:color="auto"/>
            <w:bottom w:val="single" w:sz="6" w:space="0" w:color="auto"/>
            <w:right w:val="single" w:sz="6" w:space="0" w:color="auto"/>
          </w:divBdr>
          <w:divsChild>
            <w:div w:id="1699505423">
              <w:marLeft w:val="0"/>
              <w:marRight w:val="0"/>
              <w:marTop w:val="0"/>
              <w:marBottom w:val="0"/>
              <w:divBdr>
                <w:top w:val="none" w:sz="0" w:space="0" w:color="auto"/>
                <w:left w:val="none" w:sz="0" w:space="0" w:color="auto"/>
                <w:bottom w:val="none" w:sz="0" w:space="0" w:color="auto"/>
                <w:right w:val="none" w:sz="0" w:space="0" w:color="auto"/>
              </w:divBdr>
            </w:div>
          </w:divsChild>
        </w:div>
        <w:div w:id="444934114">
          <w:marLeft w:val="0"/>
          <w:marRight w:val="0"/>
          <w:marTop w:val="0"/>
          <w:marBottom w:val="0"/>
          <w:divBdr>
            <w:top w:val="none" w:sz="0" w:space="0" w:color="auto"/>
            <w:left w:val="none" w:sz="0" w:space="0" w:color="auto"/>
            <w:bottom w:val="none" w:sz="0" w:space="0" w:color="auto"/>
            <w:right w:val="none" w:sz="0" w:space="0" w:color="auto"/>
          </w:divBdr>
          <w:divsChild>
            <w:div w:id="1332836926">
              <w:marLeft w:val="0"/>
              <w:marRight w:val="0"/>
              <w:marTop w:val="0"/>
              <w:marBottom w:val="0"/>
              <w:divBdr>
                <w:top w:val="none" w:sz="0" w:space="0" w:color="auto"/>
                <w:left w:val="none" w:sz="0" w:space="0" w:color="auto"/>
                <w:bottom w:val="none" w:sz="0" w:space="0" w:color="auto"/>
                <w:right w:val="none" w:sz="0" w:space="0" w:color="auto"/>
              </w:divBdr>
            </w:div>
            <w:div w:id="1791393471">
              <w:marLeft w:val="0"/>
              <w:marRight w:val="0"/>
              <w:marTop w:val="0"/>
              <w:marBottom w:val="0"/>
              <w:divBdr>
                <w:top w:val="none" w:sz="0" w:space="0" w:color="auto"/>
                <w:left w:val="none" w:sz="0" w:space="0" w:color="auto"/>
                <w:bottom w:val="none" w:sz="0" w:space="0" w:color="auto"/>
                <w:right w:val="none" w:sz="0" w:space="0" w:color="auto"/>
              </w:divBdr>
            </w:div>
            <w:div w:id="2077973929">
              <w:marLeft w:val="0"/>
              <w:marRight w:val="0"/>
              <w:marTop w:val="0"/>
              <w:marBottom w:val="0"/>
              <w:divBdr>
                <w:top w:val="none" w:sz="0" w:space="0" w:color="auto"/>
                <w:left w:val="none" w:sz="0" w:space="0" w:color="auto"/>
                <w:bottom w:val="none" w:sz="0" w:space="0" w:color="auto"/>
                <w:right w:val="none" w:sz="0" w:space="0" w:color="auto"/>
              </w:divBdr>
            </w:div>
            <w:div w:id="842015314">
              <w:marLeft w:val="0"/>
              <w:marRight w:val="0"/>
              <w:marTop w:val="0"/>
              <w:marBottom w:val="0"/>
              <w:divBdr>
                <w:top w:val="none" w:sz="0" w:space="0" w:color="auto"/>
                <w:left w:val="none" w:sz="0" w:space="0" w:color="auto"/>
                <w:bottom w:val="none" w:sz="0" w:space="0" w:color="auto"/>
                <w:right w:val="none" w:sz="0" w:space="0" w:color="auto"/>
              </w:divBdr>
            </w:div>
            <w:div w:id="1198739707">
              <w:marLeft w:val="0"/>
              <w:marRight w:val="0"/>
              <w:marTop w:val="0"/>
              <w:marBottom w:val="0"/>
              <w:divBdr>
                <w:top w:val="none" w:sz="0" w:space="0" w:color="auto"/>
                <w:left w:val="none" w:sz="0" w:space="0" w:color="auto"/>
                <w:bottom w:val="none" w:sz="0" w:space="0" w:color="auto"/>
                <w:right w:val="none" w:sz="0" w:space="0" w:color="auto"/>
              </w:divBdr>
            </w:div>
            <w:div w:id="1598246325">
              <w:marLeft w:val="0"/>
              <w:marRight w:val="0"/>
              <w:marTop w:val="0"/>
              <w:marBottom w:val="0"/>
              <w:divBdr>
                <w:top w:val="none" w:sz="0" w:space="0" w:color="auto"/>
                <w:left w:val="none" w:sz="0" w:space="0" w:color="auto"/>
                <w:bottom w:val="none" w:sz="0" w:space="0" w:color="auto"/>
                <w:right w:val="none" w:sz="0" w:space="0" w:color="auto"/>
              </w:divBdr>
            </w:div>
            <w:div w:id="912277951">
              <w:marLeft w:val="0"/>
              <w:marRight w:val="0"/>
              <w:marTop w:val="0"/>
              <w:marBottom w:val="0"/>
              <w:divBdr>
                <w:top w:val="none" w:sz="0" w:space="0" w:color="auto"/>
                <w:left w:val="none" w:sz="0" w:space="0" w:color="auto"/>
                <w:bottom w:val="none" w:sz="0" w:space="0" w:color="auto"/>
                <w:right w:val="none" w:sz="0" w:space="0" w:color="auto"/>
              </w:divBdr>
            </w:div>
            <w:div w:id="1639215087">
              <w:marLeft w:val="0"/>
              <w:marRight w:val="0"/>
              <w:marTop w:val="0"/>
              <w:marBottom w:val="0"/>
              <w:divBdr>
                <w:top w:val="none" w:sz="0" w:space="0" w:color="auto"/>
                <w:left w:val="none" w:sz="0" w:space="0" w:color="auto"/>
                <w:bottom w:val="none" w:sz="0" w:space="0" w:color="auto"/>
                <w:right w:val="none" w:sz="0" w:space="0" w:color="auto"/>
              </w:divBdr>
            </w:div>
            <w:div w:id="337468818">
              <w:marLeft w:val="0"/>
              <w:marRight w:val="0"/>
              <w:marTop w:val="0"/>
              <w:marBottom w:val="0"/>
              <w:divBdr>
                <w:top w:val="none" w:sz="0" w:space="0" w:color="auto"/>
                <w:left w:val="none" w:sz="0" w:space="0" w:color="auto"/>
                <w:bottom w:val="none" w:sz="0" w:space="0" w:color="auto"/>
                <w:right w:val="none" w:sz="0" w:space="0" w:color="auto"/>
              </w:divBdr>
            </w:div>
            <w:div w:id="296566077">
              <w:marLeft w:val="0"/>
              <w:marRight w:val="0"/>
              <w:marTop w:val="0"/>
              <w:marBottom w:val="0"/>
              <w:divBdr>
                <w:top w:val="none" w:sz="0" w:space="0" w:color="auto"/>
                <w:left w:val="none" w:sz="0" w:space="0" w:color="auto"/>
                <w:bottom w:val="none" w:sz="0" w:space="0" w:color="auto"/>
                <w:right w:val="none" w:sz="0" w:space="0" w:color="auto"/>
              </w:divBdr>
            </w:div>
            <w:div w:id="179856928">
              <w:marLeft w:val="0"/>
              <w:marRight w:val="0"/>
              <w:marTop w:val="0"/>
              <w:marBottom w:val="0"/>
              <w:divBdr>
                <w:top w:val="none" w:sz="0" w:space="0" w:color="auto"/>
                <w:left w:val="none" w:sz="0" w:space="0" w:color="auto"/>
                <w:bottom w:val="none" w:sz="0" w:space="0" w:color="auto"/>
                <w:right w:val="none" w:sz="0" w:space="0" w:color="auto"/>
              </w:divBdr>
            </w:div>
            <w:div w:id="1002663642">
              <w:marLeft w:val="0"/>
              <w:marRight w:val="0"/>
              <w:marTop w:val="0"/>
              <w:marBottom w:val="0"/>
              <w:divBdr>
                <w:top w:val="none" w:sz="0" w:space="0" w:color="auto"/>
                <w:left w:val="none" w:sz="0" w:space="0" w:color="auto"/>
                <w:bottom w:val="none" w:sz="0" w:space="0" w:color="auto"/>
                <w:right w:val="none" w:sz="0" w:space="0" w:color="auto"/>
              </w:divBdr>
            </w:div>
            <w:div w:id="1086028389">
              <w:marLeft w:val="0"/>
              <w:marRight w:val="0"/>
              <w:marTop w:val="0"/>
              <w:marBottom w:val="0"/>
              <w:divBdr>
                <w:top w:val="none" w:sz="0" w:space="0" w:color="auto"/>
                <w:left w:val="none" w:sz="0" w:space="0" w:color="auto"/>
                <w:bottom w:val="none" w:sz="0" w:space="0" w:color="auto"/>
                <w:right w:val="none" w:sz="0" w:space="0" w:color="auto"/>
              </w:divBdr>
            </w:div>
            <w:div w:id="1512988054">
              <w:marLeft w:val="0"/>
              <w:marRight w:val="0"/>
              <w:marTop w:val="0"/>
              <w:marBottom w:val="0"/>
              <w:divBdr>
                <w:top w:val="none" w:sz="0" w:space="0" w:color="auto"/>
                <w:left w:val="none" w:sz="0" w:space="0" w:color="auto"/>
                <w:bottom w:val="none" w:sz="0" w:space="0" w:color="auto"/>
                <w:right w:val="none" w:sz="0" w:space="0" w:color="auto"/>
              </w:divBdr>
            </w:div>
            <w:div w:id="2040814683">
              <w:marLeft w:val="0"/>
              <w:marRight w:val="0"/>
              <w:marTop w:val="0"/>
              <w:marBottom w:val="0"/>
              <w:divBdr>
                <w:top w:val="none" w:sz="0" w:space="0" w:color="auto"/>
                <w:left w:val="none" w:sz="0" w:space="0" w:color="auto"/>
                <w:bottom w:val="none" w:sz="0" w:space="0" w:color="auto"/>
                <w:right w:val="none" w:sz="0" w:space="0" w:color="auto"/>
              </w:divBdr>
            </w:div>
            <w:div w:id="549465370">
              <w:marLeft w:val="0"/>
              <w:marRight w:val="0"/>
              <w:marTop w:val="0"/>
              <w:marBottom w:val="0"/>
              <w:divBdr>
                <w:top w:val="none" w:sz="0" w:space="0" w:color="auto"/>
                <w:left w:val="none" w:sz="0" w:space="0" w:color="auto"/>
                <w:bottom w:val="none" w:sz="0" w:space="0" w:color="auto"/>
                <w:right w:val="none" w:sz="0" w:space="0" w:color="auto"/>
              </w:divBdr>
            </w:div>
            <w:div w:id="1840533452">
              <w:marLeft w:val="0"/>
              <w:marRight w:val="0"/>
              <w:marTop w:val="0"/>
              <w:marBottom w:val="0"/>
              <w:divBdr>
                <w:top w:val="none" w:sz="0" w:space="0" w:color="auto"/>
                <w:left w:val="none" w:sz="0" w:space="0" w:color="auto"/>
                <w:bottom w:val="none" w:sz="0" w:space="0" w:color="auto"/>
                <w:right w:val="none" w:sz="0" w:space="0" w:color="auto"/>
              </w:divBdr>
            </w:div>
            <w:div w:id="1132165234">
              <w:marLeft w:val="0"/>
              <w:marRight w:val="0"/>
              <w:marTop w:val="0"/>
              <w:marBottom w:val="0"/>
              <w:divBdr>
                <w:top w:val="none" w:sz="0" w:space="0" w:color="auto"/>
                <w:left w:val="none" w:sz="0" w:space="0" w:color="auto"/>
                <w:bottom w:val="none" w:sz="0" w:space="0" w:color="auto"/>
                <w:right w:val="none" w:sz="0" w:space="0" w:color="auto"/>
              </w:divBdr>
            </w:div>
            <w:div w:id="916748802">
              <w:marLeft w:val="0"/>
              <w:marRight w:val="0"/>
              <w:marTop w:val="0"/>
              <w:marBottom w:val="0"/>
              <w:divBdr>
                <w:top w:val="none" w:sz="0" w:space="0" w:color="auto"/>
                <w:left w:val="none" w:sz="0" w:space="0" w:color="auto"/>
                <w:bottom w:val="none" w:sz="0" w:space="0" w:color="auto"/>
                <w:right w:val="none" w:sz="0" w:space="0" w:color="auto"/>
              </w:divBdr>
            </w:div>
            <w:div w:id="594627623">
              <w:marLeft w:val="0"/>
              <w:marRight w:val="0"/>
              <w:marTop w:val="0"/>
              <w:marBottom w:val="0"/>
              <w:divBdr>
                <w:top w:val="none" w:sz="0" w:space="0" w:color="auto"/>
                <w:left w:val="none" w:sz="0" w:space="0" w:color="auto"/>
                <w:bottom w:val="none" w:sz="0" w:space="0" w:color="auto"/>
                <w:right w:val="none" w:sz="0" w:space="0" w:color="auto"/>
              </w:divBdr>
            </w:div>
            <w:div w:id="319046211">
              <w:marLeft w:val="0"/>
              <w:marRight w:val="0"/>
              <w:marTop w:val="0"/>
              <w:marBottom w:val="0"/>
              <w:divBdr>
                <w:top w:val="none" w:sz="0" w:space="0" w:color="auto"/>
                <w:left w:val="none" w:sz="0" w:space="0" w:color="auto"/>
                <w:bottom w:val="none" w:sz="0" w:space="0" w:color="auto"/>
                <w:right w:val="none" w:sz="0" w:space="0" w:color="auto"/>
              </w:divBdr>
            </w:div>
            <w:div w:id="773289833">
              <w:marLeft w:val="0"/>
              <w:marRight w:val="0"/>
              <w:marTop w:val="0"/>
              <w:marBottom w:val="0"/>
              <w:divBdr>
                <w:top w:val="none" w:sz="0" w:space="0" w:color="auto"/>
                <w:left w:val="none" w:sz="0" w:space="0" w:color="auto"/>
                <w:bottom w:val="none" w:sz="0" w:space="0" w:color="auto"/>
                <w:right w:val="none" w:sz="0" w:space="0" w:color="auto"/>
              </w:divBdr>
            </w:div>
            <w:div w:id="1421487971">
              <w:marLeft w:val="0"/>
              <w:marRight w:val="0"/>
              <w:marTop w:val="0"/>
              <w:marBottom w:val="0"/>
              <w:divBdr>
                <w:top w:val="none" w:sz="0" w:space="0" w:color="auto"/>
                <w:left w:val="none" w:sz="0" w:space="0" w:color="auto"/>
                <w:bottom w:val="none" w:sz="0" w:space="0" w:color="auto"/>
                <w:right w:val="none" w:sz="0" w:space="0" w:color="auto"/>
              </w:divBdr>
            </w:div>
            <w:div w:id="61877095">
              <w:marLeft w:val="0"/>
              <w:marRight w:val="0"/>
              <w:marTop w:val="0"/>
              <w:marBottom w:val="0"/>
              <w:divBdr>
                <w:top w:val="none" w:sz="0" w:space="0" w:color="auto"/>
                <w:left w:val="none" w:sz="0" w:space="0" w:color="auto"/>
                <w:bottom w:val="none" w:sz="0" w:space="0" w:color="auto"/>
                <w:right w:val="none" w:sz="0" w:space="0" w:color="auto"/>
              </w:divBdr>
            </w:div>
            <w:div w:id="604767912">
              <w:marLeft w:val="0"/>
              <w:marRight w:val="0"/>
              <w:marTop w:val="0"/>
              <w:marBottom w:val="0"/>
              <w:divBdr>
                <w:top w:val="none" w:sz="0" w:space="0" w:color="auto"/>
                <w:left w:val="none" w:sz="0" w:space="0" w:color="auto"/>
                <w:bottom w:val="none" w:sz="0" w:space="0" w:color="auto"/>
                <w:right w:val="none" w:sz="0" w:space="0" w:color="auto"/>
              </w:divBdr>
            </w:div>
            <w:div w:id="1093817503">
              <w:marLeft w:val="0"/>
              <w:marRight w:val="0"/>
              <w:marTop w:val="0"/>
              <w:marBottom w:val="0"/>
              <w:divBdr>
                <w:top w:val="none" w:sz="0" w:space="0" w:color="auto"/>
                <w:left w:val="none" w:sz="0" w:space="0" w:color="auto"/>
                <w:bottom w:val="none" w:sz="0" w:space="0" w:color="auto"/>
                <w:right w:val="none" w:sz="0" w:space="0" w:color="auto"/>
              </w:divBdr>
            </w:div>
            <w:div w:id="1204173683">
              <w:marLeft w:val="0"/>
              <w:marRight w:val="0"/>
              <w:marTop w:val="0"/>
              <w:marBottom w:val="0"/>
              <w:divBdr>
                <w:top w:val="none" w:sz="0" w:space="0" w:color="auto"/>
                <w:left w:val="none" w:sz="0" w:space="0" w:color="auto"/>
                <w:bottom w:val="none" w:sz="0" w:space="0" w:color="auto"/>
                <w:right w:val="none" w:sz="0" w:space="0" w:color="auto"/>
              </w:divBdr>
            </w:div>
            <w:div w:id="1797792741">
              <w:marLeft w:val="0"/>
              <w:marRight w:val="0"/>
              <w:marTop w:val="0"/>
              <w:marBottom w:val="0"/>
              <w:divBdr>
                <w:top w:val="none" w:sz="0" w:space="0" w:color="auto"/>
                <w:left w:val="none" w:sz="0" w:space="0" w:color="auto"/>
                <w:bottom w:val="none" w:sz="0" w:space="0" w:color="auto"/>
                <w:right w:val="none" w:sz="0" w:space="0" w:color="auto"/>
              </w:divBdr>
            </w:div>
            <w:div w:id="1706170688">
              <w:marLeft w:val="0"/>
              <w:marRight w:val="0"/>
              <w:marTop w:val="0"/>
              <w:marBottom w:val="0"/>
              <w:divBdr>
                <w:top w:val="none" w:sz="0" w:space="0" w:color="auto"/>
                <w:left w:val="none" w:sz="0" w:space="0" w:color="auto"/>
                <w:bottom w:val="none" w:sz="0" w:space="0" w:color="auto"/>
                <w:right w:val="none" w:sz="0" w:space="0" w:color="auto"/>
              </w:divBdr>
            </w:div>
            <w:div w:id="1814759201">
              <w:marLeft w:val="0"/>
              <w:marRight w:val="0"/>
              <w:marTop w:val="0"/>
              <w:marBottom w:val="0"/>
              <w:divBdr>
                <w:top w:val="none" w:sz="0" w:space="0" w:color="auto"/>
                <w:left w:val="none" w:sz="0" w:space="0" w:color="auto"/>
                <w:bottom w:val="none" w:sz="0" w:space="0" w:color="auto"/>
                <w:right w:val="none" w:sz="0" w:space="0" w:color="auto"/>
              </w:divBdr>
            </w:div>
            <w:div w:id="1015768381">
              <w:marLeft w:val="0"/>
              <w:marRight w:val="0"/>
              <w:marTop w:val="0"/>
              <w:marBottom w:val="0"/>
              <w:divBdr>
                <w:top w:val="none" w:sz="0" w:space="0" w:color="auto"/>
                <w:left w:val="none" w:sz="0" w:space="0" w:color="auto"/>
                <w:bottom w:val="none" w:sz="0" w:space="0" w:color="auto"/>
                <w:right w:val="none" w:sz="0" w:space="0" w:color="auto"/>
              </w:divBdr>
            </w:div>
            <w:div w:id="690767109">
              <w:marLeft w:val="0"/>
              <w:marRight w:val="0"/>
              <w:marTop w:val="0"/>
              <w:marBottom w:val="0"/>
              <w:divBdr>
                <w:top w:val="none" w:sz="0" w:space="0" w:color="auto"/>
                <w:left w:val="none" w:sz="0" w:space="0" w:color="auto"/>
                <w:bottom w:val="none" w:sz="0" w:space="0" w:color="auto"/>
                <w:right w:val="none" w:sz="0" w:space="0" w:color="auto"/>
              </w:divBdr>
            </w:div>
            <w:div w:id="218438150">
              <w:marLeft w:val="0"/>
              <w:marRight w:val="0"/>
              <w:marTop w:val="0"/>
              <w:marBottom w:val="0"/>
              <w:divBdr>
                <w:top w:val="none" w:sz="0" w:space="0" w:color="auto"/>
                <w:left w:val="none" w:sz="0" w:space="0" w:color="auto"/>
                <w:bottom w:val="none" w:sz="0" w:space="0" w:color="auto"/>
                <w:right w:val="none" w:sz="0" w:space="0" w:color="auto"/>
              </w:divBdr>
            </w:div>
            <w:div w:id="1981958853">
              <w:marLeft w:val="0"/>
              <w:marRight w:val="0"/>
              <w:marTop w:val="0"/>
              <w:marBottom w:val="0"/>
              <w:divBdr>
                <w:top w:val="none" w:sz="0" w:space="0" w:color="auto"/>
                <w:left w:val="none" w:sz="0" w:space="0" w:color="auto"/>
                <w:bottom w:val="none" w:sz="0" w:space="0" w:color="auto"/>
                <w:right w:val="none" w:sz="0" w:space="0" w:color="auto"/>
              </w:divBdr>
            </w:div>
            <w:div w:id="24018624">
              <w:marLeft w:val="0"/>
              <w:marRight w:val="0"/>
              <w:marTop w:val="0"/>
              <w:marBottom w:val="0"/>
              <w:divBdr>
                <w:top w:val="none" w:sz="0" w:space="0" w:color="auto"/>
                <w:left w:val="none" w:sz="0" w:space="0" w:color="auto"/>
                <w:bottom w:val="none" w:sz="0" w:space="0" w:color="auto"/>
                <w:right w:val="none" w:sz="0" w:space="0" w:color="auto"/>
              </w:divBdr>
            </w:div>
            <w:div w:id="135218650">
              <w:marLeft w:val="0"/>
              <w:marRight w:val="0"/>
              <w:marTop w:val="0"/>
              <w:marBottom w:val="0"/>
              <w:divBdr>
                <w:top w:val="none" w:sz="0" w:space="0" w:color="auto"/>
                <w:left w:val="none" w:sz="0" w:space="0" w:color="auto"/>
                <w:bottom w:val="none" w:sz="0" w:space="0" w:color="auto"/>
                <w:right w:val="none" w:sz="0" w:space="0" w:color="auto"/>
              </w:divBdr>
            </w:div>
            <w:div w:id="164247306">
              <w:marLeft w:val="0"/>
              <w:marRight w:val="0"/>
              <w:marTop w:val="0"/>
              <w:marBottom w:val="0"/>
              <w:divBdr>
                <w:top w:val="none" w:sz="0" w:space="0" w:color="auto"/>
                <w:left w:val="none" w:sz="0" w:space="0" w:color="auto"/>
                <w:bottom w:val="none" w:sz="0" w:space="0" w:color="auto"/>
                <w:right w:val="none" w:sz="0" w:space="0" w:color="auto"/>
              </w:divBdr>
            </w:div>
            <w:div w:id="1780222398">
              <w:marLeft w:val="0"/>
              <w:marRight w:val="0"/>
              <w:marTop w:val="0"/>
              <w:marBottom w:val="0"/>
              <w:divBdr>
                <w:top w:val="none" w:sz="0" w:space="0" w:color="auto"/>
                <w:left w:val="none" w:sz="0" w:space="0" w:color="auto"/>
                <w:bottom w:val="none" w:sz="0" w:space="0" w:color="auto"/>
                <w:right w:val="none" w:sz="0" w:space="0" w:color="auto"/>
              </w:divBdr>
            </w:div>
            <w:div w:id="1131167000">
              <w:marLeft w:val="0"/>
              <w:marRight w:val="0"/>
              <w:marTop w:val="0"/>
              <w:marBottom w:val="0"/>
              <w:divBdr>
                <w:top w:val="none" w:sz="0" w:space="0" w:color="auto"/>
                <w:left w:val="none" w:sz="0" w:space="0" w:color="auto"/>
                <w:bottom w:val="none" w:sz="0" w:space="0" w:color="auto"/>
                <w:right w:val="none" w:sz="0" w:space="0" w:color="auto"/>
              </w:divBdr>
            </w:div>
            <w:div w:id="977685230">
              <w:marLeft w:val="0"/>
              <w:marRight w:val="0"/>
              <w:marTop w:val="0"/>
              <w:marBottom w:val="0"/>
              <w:divBdr>
                <w:top w:val="none" w:sz="0" w:space="0" w:color="auto"/>
                <w:left w:val="none" w:sz="0" w:space="0" w:color="auto"/>
                <w:bottom w:val="none" w:sz="0" w:space="0" w:color="auto"/>
                <w:right w:val="none" w:sz="0" w:space="0" w:color="auto"/>
              </w:divBdr>
            </w:div>
            <w:div w:id="990210753">
              <w:marLeft w:val="0"/>
              <w:marRight w:val="0"/>
              <w:marTop w:val="0"/>
              <w:marBottom w:val="0"/>
              <w:divBdr>
                <w:top w:val="none" w:sz="0" w:space="0" w:color="auto"/>
                <w:left w:val="none" w:sz="0" w:space="0" w:color="auto"/>
                <w:bottom w:val="none" w:sz="0" w:space="0" w:color="auto"/>
                <w:right w:val="none" w:sz="0" w:space="0" w:color="auto"/>
              </w:divBdr>
            </w:div>
            <w:div w:id="235749676">
              <w:marLeft w:val="0"/>
              <w:marRight w:val="0"/>
              <w:marTop w:val="0"/>
              <w:marBottom w:val="0"/>
              <w:divBdr>
                <w:top w:val="none" w:sz="0" w:space="0" w:color="auto"/>
                <w:left w:val="none" w:sz="0" w:space="0" w:color="auto"/>
                <w:bottom w:val="none" w:sz="0" w:space="0" w:color="auto"/>
                <w:right w:val="none" w:sz="0" w:space="0" w:color="auto"/>
              </w:divBdr>
            </w:div>
            <w:div w:id="1553153703">
              <w:marLeft w:val="0"/>
              <w:marRight w:val="0"/>
              <w:marTop w:val="0"/>
              <w:marBottom w:val="0"/>
              <w:divBdr>
                <w:top w:val="none" w:sz="0" w:space="0" w:color="auto"/>
                <w:left w:val="none" w:sz="0" w:space="0" w:color="auto"/>
                <w:bottom w:val="none" w:sz="0" w:space="0" w:color="auto"/>
                <w:right w:val="none" w:sz="0" w:space="0" w:color="auto"/>
              </w:divBdr>
            </w:div>
            <w:div w:id="505486627">
              <w:marLeft w:val="0"/>
              <w:marRight w:val="0"/>
              <w:marTop w:val="0"/>
              <w:marBottom w:val="0"/>
              <w:divBdr>
                <w:top w:val="none" w:sz="0" w:space="0" w:color="auto"/>
                <w:left w:val="none" w:sz="0" w:space="0" w:color="auto"/>
                <w:bottom w:val="none" w:sz="0" w:space="0" w:color="auto"/>
                <w:right w:val="none" w:sz="0" w:space="0" w:color="auto"/>
              </w:divBdr>
            </w:div>
            <w:div w:id="608590087">
              <w:marLeft w:val="0"/>
              <w:marRight w:val="0"/>
              <w:marTop w:val="0"/>
              <w:marBottom w:val="0"/>
              <w:divBdr>
                <w:top w:val="none" w:sz="0" w:space="0" w:color="auto"/>
                <w:left w:val="none" w:sz="0" w:space="0" w:color="auto"/>
                <w:bottom w:val="none" w:sz="0" w:space="0" w:color="auto"/>
                <w:right w:val="none" w:sz="0" w:space="0" w:color="auto"/>
              </w:divBdr>
            </w:div>
            <w:div w:id="565379565">
              <w:marLeft w:val="0"/>
              <w:marRight w:val="0"/>
              <w:marTop w:val="0"/>
              <w:marBottom w:val="0"/>
              <w:divBdr>
                <w:top w:val="none" w:sz="0" w:space="0" w:color="auto"/>
                <w:left w:val="none" w:sz="0" w:space="0" w:color="auto"/>
                <w:bottom w:val="none" w:sz="0" w:space="0" w:color="auto"/>
                <w:right w:val="none" w:sz="0" w:space="0" w:color="auto"/>
              </w:divBdr>
            </w:div>
            <w:div w:id="128328384">
              <w:marLeft w:val="0"/>
              <w:marRight w:val="0"/>
              <w:marTop w:val="0"/>
              <w:marBottom w:val="0"/>
              <w:divBdr>
                <w:top w:val="none" w:sz="0" w:space="0" w:color="auto"/>
                <w:left w:val="none" w:sz="0" w:space="0" w:color="auto"/>
                <w:bottom w:val="none" w:sz="0" w:space="0" w:color="auto"/>
                <w:right w:val="none" w:sz="0" w:space="0" w:color="auto"/>
              </w:divBdr>
            </w:div>
            <w:div w:id="926309770">
              <w:marLeft w:val="0"/>
              <w:marRight w:val="0"/>
              <w:marTop w:val="0"/>
              <w:marBottom w:val="0"/>
              <w:divBdr>
                <w:top w:val="none" w:sz="0" w:space="0" w:color="auto"/>
                <w:left w:val="none" w:sz="0" w:space="0" w:color="auto"/>
                <w:bottom w:val="none" w:sz="0" w:space="0" w:color="auto"/>
                <w:right w:val="none" w:sz="0" w:space="0" w:color="auto"/>
              </w:divBdr>
            </w:div>
            <w:div w:id="203375643">
              <w:marLeft w:val="0"/>
              <w:marRight w:val="0"/>
              <w:marTop w:val="0"/>
              <w:marBottom w:val="0"/>
              <w:divBdr>
                <w:top w:val="none" w:sz="0" w:space="0" w:color="auto"/>
                <w:left w:val="none" w:sz="0" w:space="0" w:color="auto"/>
                <w:bottom w:val="none" w:sz="0" w:space="0" w:color="auto"/>
                <w:right w:val="none" w:sz="0" w:space="0" w:color="auto"/>
              </w:divBdr>
            </w:div>
            <w:div w:id="2003657353">
              <w:marLeft w:val="0"/>
              <w:marRight w:val="0"/>
              <w:marTop w:val="0"/>
              <w:marBottom w:val="0"/>
              <w:divBdr>
                <w:top w:val="none" w:sz="0" w:space="0" w:color="auto"/>
                <w:left w:val="none" w:sz="0" w:space="0" w:color="auto"/>
                <w:bottom w:val="none" w:sz="0" w:space="0" w:color="auto"/>
                <w:right w:val="none" w:sz="0" w:space="0" w:color="auto"/>
              </w:divBdr>
            </w:div>
            <w:div w:id="450780211">
              <w:marLeft w:val="0"/>
              <w:marRight w:val="0"/>
              <w:marTop w:val="0"/>
              <w:marBottom w:val="0"/>
              <w:divBdr>
                <w:top w:val="none" w:sz="0" w:space="0" w:color="auto"/>
                <w:left w:val="none" w:sz="0" w:space="0" w:color="auto"/>
                <w:bottom w:val="none" w:sz="0" w:space="0" w:color="auto"/>
                <w:right w:val="none" w:sz="0" w:space="0" w:color="auto"/>
              </w:divBdr>
            </w:div>
            <w:div w:id="982471170">
              <w:marLeft w:val="0"/>
              <w:marRight w:val="0"/>
              <w:marTop w:val="0"/>
              <w:marBottom w:val="0"/>
              <w:divBdr>
                <w:top w:val="none" w:sz="0" w:space="0" w:color="auto"/>
                <w:left w:val="none" w:sz="0" w:space="0" w:color="auto"/>
                <w:bottom w:val="none" w:sz="0" w:space="0" w:color="auto"/>
                <w:right w:val="none" w:sz="0" w:space="0" w:color="auto"/>
              </w:divBdr>
            </w:div>
            <w:div w:id="935213621">
              <w:marLeft w:val="0"/>
              <w:marRight w:val="0"/>
              <w:marTop w:val="0"/>
              <w:marBottom w:val="0"/>
              <w:divBdr>
                <w:top w:val="none" w:sz="0" w:space="0" w:color="auto"/>
                <w:left w:val="none" w:sz="0" w:space="0" w:color="auto"/>
                <w:bottom w:val="none" w:sz="0" w:space="0" w:color="auto"/>
                <w:right w:val="none" w:sz="0" w:space="0" w:color="auto"/>
              </w:divBdr>
            </w:div>
            <w:div w:id="7492654">
              <w:marLeft w:val="0"/>
              <w:marRight w:val="0"/>
              <w:marTop w:val="0"/>
              <w:marBottom w:val="0"/>
              <w:divBdr>
                <w:top w:val="none" w:sz="0" w:space="0" w:color="auto"/>
                <w:left w:val="none" w:sz="0" w:space="0" w:color="auto"/>
                <w:bottom w:val="none" w:sz="0" w:space="0" w:color="auto"/>
                <w:right w:val="none" w:sz="0" w:space="0" w:color="auto"/>
              </w:divBdr>
            </w:div>
            <w:div w:id="1580209172">
              <w:marLeft w:val="0"/>
              <w:marRight w:val="0"/>
              <w:marTop w:val="0"/>
              <w:marBottom w:val="0"/>
              <w:divBdr>
                <w:top w:val="none" w:sz="0" w:space="0" w:color="auto"/>
                <w:left w:val="none" w:sz="0" w:space="0" w:color="auto"/>
                <w:bottom w:val="none" w:sz="0" w:space="0" w:color="auto"/>
                <w:right w:val="none" w:sz="0" w:space="0" w:color="auto"/>
              </w:divBdr>
            </w:div>
            <w:div w:id="1980767864">
              <w:marLeft w:val="0"/>
              <w:marRight w:val="0"/>
              <w:marTop w:val="0"/>
              <w:marBottom w:val="0"/>
              <w:divBdr>
                <w:top w:val="none" w:sz="0" w:space="0" w:color="auto"/>
                <w:left w:val="none" w:sz="0" w:space="0" w:color="auto"/>
                <w:bottom w:val="none" w:sz="0" w:space="0" w:color="auto"/>
                <w:right w:val="none" w:sz="0" w:space="0" w:color="auto"/>
              </w:divBdr>
            </w:div>
            <w:div w:id="716508252">
              <w:marLeft w:val="0"/>
              <w:marRight w:val="0"/>
              <w:marTop w:val="0"/>
              <w:marBottom w:val="0"/>
              <w:divBdr>
                <w:top w:val="none" w:sz="0" w:space="0" w:color="auto"/>
                <w:left w:val="none" w:sz="0" w:space="0" w:color="auto"/>
                <w:bottom w:val="none" w:sz="0" w:space="0" w:color="auto"/>
                <w:right w:val="none" w:sz="0" w:space="0" w:color="auto"/>
              </w:divBdr>
            </w:div>
            <w:div w:id="28183648">
              <w:marLeft w:val="0"/>
              <w:marRight w:val="0"/>
              <w:marTop w:val="0"/>
              <w:marBottom w:val="0"/>
              <w:divBdr>
                <w:top w:val="none" w:sz="0" w:space="0" w:color="auto"/>
                <w:left w:val="none" w:sz="0" w:space="0" w:color="auto"/>
                <w:bottom w:val="none" w:sz="0" w:space="0" w:color="auto"/>
                <w:right w:val="none" w:sz="0" w:space="0" w:color="auto"/>
              </w:divBdr>
            </w:div>
            <w:div w:id="132139482">
              <w:marLeft w:val="0"/>
              <w:marRight w:val="0"/>
              <w:marTop w:val="0"/>
              <w:marBottom w:val="0"/>
              <w:divBdr>
                <w:top w:val="none" w:sz="0" w:space="0" w:color="auto"/>
                <w:left w:val="none" w:sz="0" w:space="0" w:color="auto"/>
                <w:bottom w:val="none" w:sz="0" w:space="0" w:color="auto"/>
                <w:right w:val="none" w:sz="0" w:space="0" w:color="auto"/>
              </w:divBdr>
            </w:div>
            <w:div w:id="1420446466">
              <w:marLeft w:val="0"/>
              <w:marRight w:val="0"/>
              <w:marTop w:val="0"/>
              <w:marBottom w:val="0"/>
              <w:divBdr>
                <w:top w:val="none" w:sz="0" w:space="0" w:color="auto"/>
                <w:left w:val="none" w:sz="0" w:space="0" w:color="auto"/>
                <w:bottom w:val="none" w:sz="0" w:space="0" w:color="auto"/>
                <w:right w:val="none" w:sz="0" w:space="0" w:color="auto"/>
              </w:divBdr>
            </w:div>
            <w:div w:id="1776091585">
              <w:marLeft w:val="0"/>
              <w:marRight w:val="0"/>
              <w:marTop w:val="0"/>
              <w:marBottom w:val="0"/>
              <w:divBdr>
                <w:top w:val="none" w:sz="0" w:space="0" w:color="auto"/>
                <w:left w:val="none" w:sz="0" w:space="0" w:color="auto"/>
                <w:bottom w:val="none" w:sz="0" w:space="0" w:color="auto"/>
                <w:right w:val="none" w:sz="0" w:space="0" w:color="auto"/>
              </w:divBdr>
            </w:div>
            <w:div w:id="572736905">
              <w:marLeft w:val="0"/>
              <w:marRight w:val="0"/>
              <w:marTop w:val="0"/>
              <w:marBottom w:val="0"/>
              <w:divBdr>
                <w:top w:val="none" w:sz="0" w:space="0" w:color="auto"/>
                <w:left w:val="none" w:sz="0" w:space="0" w:color="auto"/>
                <w:bottom w:val="none" w:sz="0" w:space="0" w:color="auto"/>
                <w:right w:val="none" w:sz="0" w:space="0" w:color="auto"/>
              </w:divBdr>
            </w:div>
            <w:div w:id="1061908465">
              <w:marLeft w:val="0"/>
              <w:marRight w:val="0"/>
              <w:marTop w:val="0"/>
              <w:marBottom w:val="0"/>
              <w:divBdr>
                <w:top w:val="none" w:sz="0" w:space="0" w:color="auto"/>
                <w:left w:val="none" w:sz="0" w:space="0" w:color="auto"/>
                <w:bottom w:val="none" w:sz="0" w:space="0" w:color="auto"/>
                <w:right w:val="none" w:sz="0" w:space="0" w:color="auto"/>
              </w:divBdr>
            </w:div>
            <w:div w:id="1647973044">
              <w:marLeft w:val="0"/>
              <w:marRight w:val="0"/>
              <w:marTop w:val="0"/>
              <w:marBottom w:val="0"/>
              <w:divBdr>
                <w:top w:val="none" w:sz="0" w:space="0" w:color="auto"/>
                <w:left w:val="none" w:sz="0" w:space="0" w:color="auto"/>
                <w:bottom w:val="none" w:sz="0" w:space="0" w:color="auto"/>
                <w:right w:val="none" w:sz="0" w:space="0" w:color="auto"/>
              </w:divBdr>
            </w:div>
            <w:div w:id="498426049">
              <w:marLeft w:val="0"/>
              <w:marRight w:val="0"/>
              <w:marTop w:val="0"/>
              <w:marBottom w:val="0"/>
              <w:divBdr>
                <w:top w:val="none" w:sz="0" w:space="0" w:color="auto"/>
                <w:left w:val="none" w:sz="0" w:space="0" w:color="auto"/>
                <w:bottom w:val="none" w:sz="0" w:space="0" w:color="auto"/>
                <w:right w:val="none" w:sz="0" w:space="0" w:color="auto"/>
              </w:divBdr>
            </w:div>
            <w:div w:id="679358193">
              <w:marLeft w:val="0"/>
              <w:marRight w:val="0"/>
              <w:marTop w:val="0"/>
              <w:marBottom w:val="0"/>
              <w:divBdr>
                <w:top w:val="none" w:sz="0" w:space="0" w:color="auto"/>
                <w:left w:val="none" w:sz="0" w:space="0" w:color="auto"/>
                <w:bottom w:val="none" w:sz="0" w:space="0" w:color="auto"/>
                <w:right w:val="none" w:sz="0" w:space="0" w:color="auto"/>
              </w:divBdr>
            </w:div>
            <w:div w:id="1686130329">
              <w:marLeft w:val="0"/>
              <w:marRight w:val="0"/>
              <w:marTop w:val="0"/>
              <w:marBottom w:val="0"/>
              <w:divBdr>
                <w:top w:val="none" w:sz="0" w:space="0" w:color="auto"/>
                <w:left w:val="none" w:sz="0" w:space="0" w:color="auto"/>
                <w:bottom w:val="none" w:sz="0" w:space="0" w:color="auto"/>
                <w:right w:val="none" w:sz="0" w:space="0" w:color="auto"/>
              </w:divBdr>
            </w:div>
            <w:div w:id="374549930">
              <w:marLeft w:val="0"/>
              <w:marRight w:val="0"/>
              <w:marTop w:val="0"/>
              <w:marBottom w:val="0"/>
              <w:divBdr>
                <w:top w:val="none" w:sz="0" w:space="0" w:color="auto"/>
                <w:left w:val="none" w:sz="0" w:space="0" w:color="auto"/>
                <w:bottom w:val="none" w:sz="0" w:space="0" w:color="auto"/>
                <w:right w:val="none" w:sz="0" w:space="0" w:color="auto"/>
              </w:divBdr>
            </w:div>
            <w:div w:id="141629356">
              <w:marLeft w:val="0"/>
              <w:marRight w:val="0"/>
              <w:marTop w:val="0"/>
              <w:marBottom w:val="0"/>
              <w:divBdr>
                <w:top w:val="none" w:sz="0" w:space="0" w:color="auto"/>
                <w:left w:val="none" w:sz="0" w:space="0" w:color="auto"/>
                <w:bottom w:val="none" w:sz="0" w:space="0" w:color="auto"/>
                <w:right w:val="none" w:sz="0" w:space="0" w:color="auto"/>
              </w:divBdr>
            </w:div>
            <w:div w:id="845483063">
              <w:marLeft w:val="0"/>
              <w:marRight w:val="0"/>
              <w:marTop w:val="0"/>
              <w:marBottom w:val="0"/>
              <w:divBdr>
                <w:top w:val="none" w:sz="0" w:space="0" w:color="auto"/>
                <w:left w:val="none" w:sz="0" w:space="0" w:color="auto"/>
                <w:bottom w:val="none" w:sz="0" w:space="0" w:color="auto"/>
                <w:right w:val="none" w:sz="0" w:space="0" w:color="auto"/>
              </w:divBdr>
            </w:div>
            <w:div w:id="830146763">
              <w:marLeft w:val="0"/>
              <w:marRight w:val="0"/>
              <w:marTop w:val="0"/>
              <w:marBottom w:val="0"/>
              <w:divBdr>
                <w:top w:val="none" w:sz="0" w:space="0" w:color="auto"/>
                <w:left w:val="none" w:sz="0" w:space="0" w:color="auto"/>
                <w:bottom w:val="none" w:sz="0" w:space="0" w:color="auto"/>
                <w:right w:val="none" w:sz="0" w:space="0" w:color="auto"/>
              </w:divBdr>
            </w:div>
            <w:div w:id="1448894841">
              <w:marLeft w:val="0"/>
              <w:marRight w:val="0"/>
              <w:marTop w:val="0"/>
              <w:marBottom w:val="0"/>
              <w:divBdr>
                <w:top w:val="none" w:sz="0" w:space="0" w:color="auto"/>
                <w:left w:val="none" w:sz="0" w:space="0" w:color="auto"/>
                <w:bottom w:val="none" w:sz="0" w:space="0" w:color="auto"/>
                <w:right w:val="none" w:sz="0" w:space="0" w:color="auto"/>
              </w:divBdr>
            </w:div>
            <w:div w:id="1435710246">
              <w:marLeft w:val="0"/>
              <w:marRight w:val="0"/>
              <w:marTop w:val="0"/>
              <w:marBottom w:val="0"/>
              <w:divBdr>
                <w:top w:val="none" w:sz="0" w:space="0" w:color="auto"/>
                <w:left w:val="none" w:sz="0" w:space="0" w:color="auto"/>
                <w:bottom w:val="none" w:sz="0" w:space="0" w:color="auto"/>
                <w:right w:val="none" w:sz="0" w:space="0" w:color="auto"/>
              </w:divBdr>
            </w:div>
            <w:div w:id="2065791445">
              <w:marLeft w:val="0"/>
              <w:marRight w:val="0"/>
              <w:marTop w:val="0"/>
              <w:marBottom w:val="0"/>
              <w:divBdr>
                <w:top w:val="none" w:sz="0" w:space="0" w:color="auto"/>
                <w:left w:val="none" w:sz="0" w:space="0" w:color="auto"/>
                <w:bottom w:val="none" w:sz="0" w:space="0" w:color="auto"/>
                <w:right w:val="none" w:sz="0" w:space="0" w:color="auto"/>
              </w:divBdr>
            </w:div>
            <w:div w:id="117336104">
              <w:marLeft w:val="0"/>
              <w:marRight w:val="0"/>
              <w:marTop w:val="0"/>
              <w:marBottom w:val="0"/>
              <w:divBdr>
                <w:top w:val="none" w:sz="0" w:space="0" w:color="auto"/>
                <w:left w:val="none" w:sz="0" w:space="0" w:color="auto"/>
                <w:bottom w:val="none" w:sz="0" w:space="0" w:color="auto"/>
                <w:right w:val="none" w:sz="0" w:space="0" w:color="auto"/>
              </w:divBdr>
            </w:div>
            <w:div w:id="65349084">
              <w:marLeft w:val="0"/>
              <w:marRight w:val="0"/>
              <w:marTop w:val="0"/>
              <w:marBottom w:val="0"/>
              <w:divBdr>
                <w:top w:val="none" w:sz="0" w:space="0" w:color="auto"/>
                <w:left w:val="none" w:sz="0" w:space="0" w:color="auto"/>
                <w:bottom w:val="none" w:sz="0" w:space="0" w:color="auto"/>
                <w:right w:val="none" w:sz="0" w:space="0" w:color="auto"/>
              </w:divBdr>
            </w:div>
            <w:div w:id="1171064003">
              <w:marLeft w:val="0"/>
              <w:marRight w:val="0"/>
              <w:marTop w:val="0"/>
              <w:marBottom w:val="0"/>
              <w:divBdr>
                <w:top w:val="none" w:sz="0" w:space="0" w:color="auto"/>
                <w:left w:val="none" w:sz="0" w:space="0" w:color="auto"/>
                <w:bottom w:val="none" w:sz="0" w:space="0" w:color="auto"/>
                <w:right w:val="none" w:sz="0" w:space="0" w:color="auto"/>
              </w:divBdr>
            </w:div>
            <w:div w:id="1871602036">
              <w:marLeft w:val="0"/>
              <w:marRight w:val="0"/>
              <w:marTop w:val="0"/>
              <w:marBottom w:val="0"/>
              <w:divBdr>
                <w:top w:val="none" w:sz="0" w:space="0" w:color="auto"/>
                <w:left w:val="none" w:sz="0" w:space="0" w:color="auto"/>
                <w:bottom w:val="none" w:sz="0" w:space="0" w:color="auto"/>
                <w:right w:val="none" w:sz="0" w:space="0" w:color="auto"/>
              </w:divBdr>
            </w:div>
            <w:div w:id="1296718389">
              <w:marLeft w:val="0"/>
              <w:marRight w:val="0"/>
              <w:marTop w:val="0"/>
              <w:marBottom w:val="0"/>
              <w:divBdr>
                <w:top w:val="none" w:sz="0" w:space="0" w:color="auto"/>
                <w:left w:val="none" w:sz="0" w:space="0" w:color="auto"/>
                <w:bottom w:val="none" w:sz="0" w:space="0" w:color="auto"/>
                <w:right w:val="none" w:sz="0" w:space="0" w:color="auto"/>
              </w:divBdr>
            </w:div>
            <w:div w:id="1743680712">
              <w:marLeft w:val="0"/>
              <w:marRight w:val="0"/>
              <w:marTop w:val="0"/>
              <w:marBottom w:val="0"/>
              <w:divBdr>
                <w:top w:val="none" w:sz="0" w:space="0" w:color="auto"/>
                <w:left w:val="none" w:sz="0" w:space="0" w:color="auto"/>
                <w:bottom w:val="none" w:sz="0" w:space="0" w:color="auto"/>
                <w:right w:val="none" w:sz="0" w:space="0" w:color="auto"/>
              </w:divBdr>
            </w:div>
            <w:div w:id="215168675">
              <w:marLeft w:val="0"/>
              <w:marRight w:val="0"/>
              <w:marTop w:val="0"/>
              <w:marBottom w:val="0"/>
              <w:divBdr>
                <w:top w:val="none" w:sz="0" w:space="0" w:color="auto"/>
                <w:left w:val="none" w:sz="0" w:space="0" w:color="auto"/>
                <w:bottom w:val="none" w:sz="0" w:space="0" w:color="auto"/>
                <w:right w:val="none" w:sz="0" w:space="0" w:color="auto"/>
              </w:divBdr>
            </w:div>
            <w:div w:id="407532530">
              <w:marLeft w:val="0"/>
              <w:marRight w:val="0"/>
              <w:marTop w:val="0"/>
              <w:marBottom w:val="0"/>
              <w:divBdr>
                <w:top w:val="none" w:sz="0" w:space="0" w:color="auto"/>
                <w:left w:val="none" w:sz="0" w:space="0" w:color="auto"/>
                <w:bottom w:val="none" w:sz="0" w:space="0" w:color="auto"/>
                <w:right w:val="none" w:sz="0" w:space="0" w:color="auto"/>
              </w:divBdr>
            </w:div>
            <w:div w:id="248084935">
              <w:marLeft w:val="0"/>
              <w:marRight w:val="0"/>
              <w:marTop w:val="0"/>
              <w:marBottom w:val="0"/>
              <w:divBdr>
                <w:top w:val="none" w:sz="0" w:space="0" w:color="auto"/>
                <w:left w:val="none" w:sz="0" w:space="0" w:color="auto"/>
                <w:bottom w:val="none" w:sz="0" w:space="0" w:color="auto"/>
                <w:right w:val="none" w:sz="0" w:space="0" w:color="auto"/>
              </w:divBdr>
            </w:div>
            <w:div w:id="946473909">
              <w:marLeft w:val="0"/>
              <w:marRight w:val="0"/>
              <w:marTop w:val="0"/>
              <w:marBottom w:val="0"/>
              <w:divBdr>
                <w:top w:val="none" w:sz="0" w:space="0" w:color="auto"/>
                <w:left w:val="none" w:sz="0" w:space="0" w:color="auto"/>
                <w:bottom w:val="none" w:sz="0" w:space="0" w:color="auto"/>
                <w:right w:val="none" w:sz="0" w:space="0" w:color="auto"/>
              </w:divBdr>
            </w:div>
            <w:div w:id="795293663">
              <w:marLeft w:val="0"/>
              <w:marRight w:val="0"/>
              <w:marTop w:val="0"/>
              <w:marBottom w:val="0"/>
              <w:divBdr>
                <w:top w:val="none" w:sz="0" w:space="0" w:color="auto"/>
                <w:left w:val="none" w:sz="0" w:space="0" w:color="auto"/>
                <w:bottom w:val="none" w:sz="0" w:space="0" w:color="auto"/>
                <w:right w:val="none" w:sz="0" w:space="0" w:color="auto"/>
              </w:divBdr>
            </w:div>
            <w:div w:id="1653290030">
              <w:marLeft w:val="0"/>
              <w:marRight w:val="0"/>
              <w:marTop w:val="0"/>
              <w:marBottom w:val="0"/>
              <w:divBdr>
                <w:top w:val="none" w:sz="0" w:space="0" w:color="auto"/>
                <w:left w:val="none" w:sz="0" w:space="0" w:color="auto"/>
                <w:bottom w:val="none" w:sz="0" w:space="0" w:color="auto"/>
                <w:right w:val="none" w:sz="0" w:space="0" w:color="auto"/>
              </w:divBdr>
            </w:div>
            <w:div w:id="1271475991">
              <w:marLeft w:val="0"/>
              <w:marRight w:val="0"/>
              <w:marTop w:val="0"/>
              <w:marBottom w:val="0"/>
              <w:divBdr>
                <w:top w:val="none" w:sz="0" w:space="0" w:color="auto"/>
                <w:left w:val="none" w:sz="0" w:space="0" w:color="auto"/>
                <w:bottom w:val="none" w:sz="0" w:space="0" w:color="auto"/>
                <w:right w:val="none" w:sz="0" w:space="0" w:color="auto"/>
              </w:divBdr>
            </w:div>
            <w:div w:id="1799713656">
              <w:marLeft w:val="0"/>
              <w:marRight w:val="0"/>
              <w:marTop w:val="0"/>
              <w:marBottom w:val="0"/>
              <w:divBdr>
                <w:top w:val="none" w:sz="0" w:space="0" w:color="auto"/>
                <w:left w:val="none" w:sz="0" w:space="0" w:color="auto"/>
                <w:bottom w:val="none" w:sz="0" w:space="0" w:color="auto"/>
                <w:right w:val="none" w:sz="0" w:space="0" w:color="auto"/>
              </w:divBdr>
            </w:div>
            <w:div w:id="281614314">
              <w:marLeft w:val="0"/>
              <w:marRight w:val="0"/>
              <w:marTop w:val="0"/>
              <w:marBottom w:val="0"/>
              <w:divBdr>
                <w:top w:val="none" w:sz="0" w:space="0" w:color="auto"/>
                <w:left w:val="none" w:sz="0" w:space="0" w:color="auto"/>
                <w:bottom w:val="none" w:sz="0" w:space="0" w:color="auto"/>
                <w:right w:val="none" w:sz="0" w:space="0" w:color="auto"/>
              </w:divBdr>
            </w:div>
            <w:div w:id="1258059774">
              <w:marLeft w:val="0"/>
              <w:marRight w:val="0"/>
              <w:marTop w:val="0"/>
              <w:marBottom w:val="0"/>
              <w:divBdr>
                <w:top w:val="none" w:sz="0" w:space="0" w:color="auto"/>
                <w:left w:val="none" w:sz="0" w:space="0" w:color="auto"/>
                <w:bottom w:val="none" w:sz="0" w:space="0" w:color="auto"/>
                <w:right w:val="none" w:sz="0" w:space="0" w:color="auto"/>
              </w:divBdr>
            </w:div>
            <w:div w:id="1210143197">
              <w:marLeft w:val="0"/>
              <w:marRight w:val="0"/>
              <w:marTop w:val="0"/>
              <w:marBottom w:val="0"/>
              <w:divBdr>
                <w:top w:val="none" w:sz="0" w:space="0" w:color="auto"/>
                <w:left w:val="none" w:sz="0" w:space="0" w:color="auto"/>
                <w:bottom w:val="none" w:sz="0" w:space="0" w:color="auto"/>
                <w:right w:val="none" w:sz="0" w:space="0" w:color="auto"/>
              </w:divBdr>
            </w:div>
            <w:div w:id="801768265">
              <w:marLeft w:val="0"/>
              <w:marRight w:val="0"/>
              <w:marTop w:val="0"/>
              <w:marBottom w:val="0"/>
              <w:divBdr>
                <w:top w:val="none" w:sz="0" w:space="0" w:color="auto"/>
                <w:left w:val="none" w:sz="0" w:space="0" w:color="auto"/>
                <w:bottom w:val="none" w:sz="0" w:space="0" w:color="auto"/>
                <w:right w:val="none" w:sz="0" w:space="0" w:color="auto"/>
              </w:divBdr>
            </w:div>
            <w:div w:id="1156452844">
              <w:marLeft w:val="0"/>
              <w:marRight w:val="0"/>
              <w:marTop w:val="0"/>
              <w:marBottom w:val="0"/>
              <w:divBdr>
                <w:top w:val="none" w:sz="0" w:space="0" w:color="auto"/>
                <w:left w:val="none" w:sz="0" w:space="0" w:color="auto"/>
                <w:bottom w:val="none" w:sz="0" w:space="0" w:color="auto"/>
                <w:right w:val="none" w:sz="0" w:space="0" w:color="auto"/>
              </w:divBdr>
            </w:div>
            <w:div w:id="130876668">
              <w:marLeft w:val="0"/>
              <w:marRight w:val="0"/>
              <w:marTop w:val="0"/>
              <w:marBottom w:val="0"/>
              <w:divBdr>
                <w:top w:val="none" w:sz="0" w:space="0" w:color="auto"/>
                <w:left w:val="none" w:sz="0" w:space="0" w:color="auto"/>
                <w:bottom w:val="none" w:sz="0" w:space="0" w:color="auto"/>
                <w:right w:val="none" w:sz="0" w:space="0" w:color="auto"/>
              </w:divBdr>
            </w:div>
            <w:div w:id="199440784">
              <w:marLeft w:val="0"/>
              <w:marRight w:val="0"/>
              <w:marTop w:val="0"/>
              <w:marBottom w:val="0"/>
              <w:divBdr>
                <w:top w:val="none" w:sz="0" w:space="0" w:color="auto"/>
                <w:left w:val="none" w:sz="0" w:space="0" w:color="auto"/>
                <w:bottom w:val="none" w:sz="0" w:space="0" w:color="auto"/>
                <w:right w:val="none" w:sz="0" w:space="0" w:color="auto"/>
              </w:divBdr>
            </w:div>
            <w:div w:id="533272496">
              <w:marLeft w:val="0"/>
              <w:marRight w:val="0"/>
              <w:marTop w:val="0"/>
              <w:marBottom w:val="0"/>
              <w:divBdr>
                <w:top w:val="none" w:sz="0" w:space="0" w:color="auto"/>
                <w:left w:val="none" w:sz="0" w:space="0" w:color="auto"/>
                <w:bottom w:val="none" w:sz="0" w:space="0" w:color="auto"/>
                <w:right w:val="none" w:sz="0" w:space="0" w:color="auto"/>
              </w:divBdr>
            </w:div>
            <w:div w:id="1545168481">
              <w:marLeft w:val="0"/>
              <w:marRight w:val="0"/>
              <w:marTop w:val="0"/>
              <w:marBottom w:val="0"/>
              <w:divBdr>
                <w:top w:val="none" w:sz="0" w:space="0" w:color="auto"/>
                <w:left w:val="none" w:sz="0" w:space="0" w:color="auto"/>
                <w:bottom w:val="none" w:sz="0" w:space="0" w:color="auto"/>
                <w:right w:val="none" w:sz="0" w:space="0" w:color="auto"/>
              </w:divBdr>
            </w:div>
            <w:div w:id="761681449">
              <w:marLeft w:val="0"/>
              <w:marRight w:val="0"/>
              <w:marTop w:val="0"/>
              <w:marBottom w:val="0"/>
              <w:divBdr>
                <w:top w:val="none" w:sz="0" w:space="0" w:color="auto"/>
                <w:left w:val="none" w:sz="0" w:space="0" w:color="auto"/>
                <w:bottom w:val="none" w:sz="0" w:space="0" w:color="auto"/>
                <w:right w:val="none" w:sz="0" w:space="0" w:color="auto"/>
              </w:divBdr>
            </w:div>
            <w:div w:id="340087197">
              <w:marLeft w:val="0"/>
              <w:marRight w:val="0"/>
              <w:marTop w:val="0"/>
              <w:marBottom w:val="0"/>
              <w:divBdr>
                <w:top w:val="none" w:sz="0" w:space="0" w:color="auto"/>
                <w:left w:val="none" w:sz="0" w:space="0" w:color="auto"/>
                <w:bottom w:val="none" w:sz="0" w:space="0" w:color="auto"/>
                <w:right w:val="none" w:sz="0" w:space="0" w:color="auto"/>
              </w:divBdr>
            </w:div>
            <w:div w:id="1809862270">
              <w:marLeft w:val="0"/>
              <w:marRight w:val="0"/>
              <w:marTop w:val="0"/>
              <w:marBottom w:val="0"/>
              <w:divBdr>
                <w:top w:val="none" w:sz="0" w:space="0" w:color="auto"/>
                <w:left w:val="none" w:sz="0" w:space="0" w:color="auto"/>
                <w:bottom w:val="none" w:sz="0" w:space="0" w:color="auto"/>
                <w:right w:val="none" w:sz="0" w:space="0" w:color="auto"/>
              </w:divBdr>
            </w:div>
            <w:div w:id="76288788">
              <w:marLeft w:val="0"/>
              <w:marRight w:val="0"/>
              <w:marTop w:val="0"/>
              <w:marBottom w:val="0"/>
              <w:divBdr>
                <w:top w:val="none" w:sz="0" w:space="0" w:color="auto"/>
                <w:left w:val="none" w:sz="0" w:space="0" w:color="auto"/>
                <w:bottom w:val="none" w:sz="0" w:space="0" w:color="auto"/>
                <w:right w:val="none" w:sz="0" w:space="0" w:color="auto"/>
              </w:divBdr>
            </w:div>
            <w:div w:id="273903483">
              <w:marLeft w:val="0"/>
              <w:marRight w:val="0"/>
              <w:marTop w:val="0"/>
              <w:marBottom w:val="0"/>
              <w:divBdr>
                <w:top w:val="none" w:sz="0" w:space="0" w:color="auto"/>
                <w:left w:val="none" w:sz="0" w:space="0" w:color="auto"/>
                <w:bottom w:val="none" w:sz="0" w:space="0" w:color="auto"/>
                <w:right w:val="none" w:sz="0" w:space="0" w:color="auto"/>
              </w:divBdr>
            </w:div>
            <w:div w:id="701519438">
              <w:marLeft w:val="0"/>
              <w:marRight w:val="0"/>
              <w:marTop w:val="0"/>
              <w:marBottom w:val="0"/>
              <w:divBdr>
                <w:top w:val="none" w:sz="0" w:space="0" w:color="auto"/>
                <w:left w:val="none" w:sz="0" w:space="0" w:color="auto"/>
                <w:bottom w:val="none" w:sz="0" w:space="0" w:color="auto"/>
                <w:right w:val="none" w:sz="0" w:space="0" w:color="auto"/>
              </w:divBdr>
            </w:div>
            <w:div w:id="49967588">
              <w:marLeft w:val="0"/>
              <w:marRight w:val="0"/>
              <w:marTop w:val="0"/>
              <w:marBottom w:val="0"/>
              <w:divBdr>
                <w:top w:val="none" w:sz="0" w:space="0" w:color="auto"/>
                <w:left w:val="none" w:sz="0" w:space="0" w:color="auto"/>
                <w:bottom w:val="none" w:sz="0" w:space="0" w:color="auto"/>
                <w:right w:val="none" w:sz="0" w:space="0" w:color="auto"/>
              </w:divBdr>
            </w:div>
            <w:div w:id="710111727">
              <w:marLeft w:val="0"/>
              <w:marRight w:val="0"/>
              <w:marTop w:val="0"/>
              <w:marBottom w:val="0"/>
              <w:divBdr>
                <w:top w:val="none" w:sz="0" w:space="0" w:color="auto"/>
                <w:left w:val="none" w:sz="0" w:space="0" w:color="auto"/>
                <w:bottom w:val="none" w:sz="0" w:space="0" w:color="auto"/>
                <w:right w:val="none" w:sz="0" w:space="0" w:color="auto"/>
              </w:divBdr>
            </w:div>
            <w:div w:id="1666200016">
              <w:marLeft w:val="0"/>
              <w:marRight w:val="0"/>
              <w:marTop w:val="0"/>
              <w:marBottom w:val="0"/>
              <w:divBdr>
                <w:top w:val="none" w:sz="0" w:space="0" w:color="auto"/>
                <w:left w:val="none" w:sz="0" w:space="0" w:color="auto"/>
                <w:bottom w:val="none" w:sz="0" w:space="0" w:color="auto"/>
                <w:right w:val="none" w:sz="0" w:space="0" w:color="auto"/>
              </w:divBdr>
            </w:div>
            <w:div w:id="406389148">
              <w:marLeft w:val="0"/>
              <w:marRight w:val="0"/>
              <w:marTop w:val="0"/>
              <w:marBottom w:val="0"/>
              <w:divBdr>
                <w:top w:val="none" w:sz="0" w:space="0" w:color="auto"/>
                <w:left w:val="none" w:sz="0" w:space="0" w:color="auto"/>
                <w:bottom w:val="none" w:sz="0" w:space="0" w:color="auto"/>
                <w:right w:val="none" w:sz="0" w:space="0" w:color="auto"/>
              </w:divBdr>
            </w:div>
            <w:div w:id="96946102">
              <w:marLeft w:val="0"/>
              <w:marRight w:val="0"/>
              <w:marTop w:val="0"/>
              <w:marBottom w:val="0"/>
              <w:divBdr>
                <w:top w:val="none" w:sz="0" w:space="0" w:color="auto"/>
                <w:left w:val="none" w:sz="0" w:space="0" w:color="auto"/>
                <w:bottom w:val="none" w:sz="0" w:space="0" w:color="auto"/>
                <w:right w:val="none" w:sz="0" w:space="0" w:color="auto"/>
              </w:divBdr>
            </w:div>
            <w:div w:id="97263076">
              <w:marLeft w:val="0"/>
              <w:marRight w:val="0"/>
              <w:marTop w:val="0"/>
              <w:marBottom w:val="0"/>
              <w:divBdr>
                <w:top w:val="none" w:sz="0" w:space="0" w:color="auto"/>
                <w:left w:val="none" w:sz="0" w:space="0" w:color="auto"/>
                <w:bottom w:val="none" w:sz="0" w:space="0" w:color="auto"/>
                <w:right w:val="none" w:sz="0" w:space="0" w:color="auto"/>
              </w:divBdr>
            </w:div>
            <w:div w:id="1584993548">
              <w:marLeft w:val="0"/>
              <w:marRight w:val="0"/>
              <w:marTop w:val="0"/>
              <w:marBottom w:val="0"/>
              <w:divBdr>
                <w:top w:val="none" w:sz="0" w:space="0" w:color="auto"/>
                <w:left w:val="none" w:sz="0" w:space="0" w:color="auto"/>
                <w:bottom w:val="none" w:sz="0" w:space="0" w:color="auto"/>
                <w:right w:val="none" w:sz="0" w:space="0" w:color="auto"/>
              </w:divBdr>
            </w:div>
            <w:div w:id="1557204417">
              <w:marLeft w:val="0"/>
              <w:marRight w:val="0"/>
              <w:marTop w:val="0"/>
              <w:marBottom w:val="0"/>
              <w:divBdr>
                <w:top w:val="none" w:sz="0" w:space="0" w:color="auto"/>
                <w:left w:val="none" w:sz="0" w:space="0" w:color="auto"/>
                <w:bottom w:val="none" w:sz="0" w:space="0" w:color="auto"/>
                <w:right w:val="none" w:sz="0" w:space="0" w:color="auto"/>
              </w:divBdr>
            </w:div>
            <w:div w:id="1912276290">
              <w:marLeft w:val="0"/>
              <w:marRight w:val="0"/>
              <w:marTop w:val="0"/>
              <w:marBottom w:val="0"/>
              <w:divBdr>
                <w:top w:val="none" w:sz="0" w:space="0" w:color="auto"/>
                <w:left w:val="none" w:sz="0" w:space="0" w:color="auto"/>
                <w:bottom w:val="none" w:sz="0" w:space="0" w:color="auto"/>
                <w:right w:val="none" w:sz="0" w:space="0" w:color="auto"/>
              </w:divBdr>
            </w:div>
            <w:div w:id="1959526900">
              <w:marLeft w:val="0"/>
              <w:marRight w:val="0"/>
              <w:marTop w:val="0"/>
              <w:marBottom w:val="0"/>
              <w:divBdr>
                <w:top w:val="none" w:sz="0" w:space="0" w:color="auto"/>
                <w:left w:val="none" w:sz="0" w:space="0" w:color="auto"/>
                <w:bottom w:val="none" w:sz="0" w:space="0" w:color="auto"/>
                <w:right w:val="none" w:sz="0" w:space="0" w:color="auto"/>
              </w:divBdr>
            </w:div>
            <w:div w:id="1132871341">
              <w:marLeft w:val="0"/>
              <w:marRight w:val="0"/>
              <w:marTop w:val="0"/>
              <w:marBottom w:val="0"/>
              <w:divBdr>
                <w:top w:val="none" w:sz="0" w:space="0" w:color="auto"/>
                <w:left w:val="none" w:sz="0" w:space="0" w:color="auto"/>
                <w:bottom w:val="none" w:sz="0" w:space="0" w:color="auto"/>
                <w:right w:val="none" w:sz="0" w:space="0" w:color="auto"/>
              </w:divBdr>
            </w:div>
            <w:div w:id="1002663219">
              <w:marLeft w:val="0"/>
              <w:marRight w:val="0"/>
              <w:marTop w:val="0"/>
              <w:marBottom w:val="0"/>
              <w:divBdr>
                <w:top w:val="none" w:sz="0" w:space="0" w:color="auto"/>
                <w:left w:val="none" w:sz="0" w:space="0" w:color="auto"/>
                <w:bottom w:val="none" w:sz="0" w:space="0" w:color="auto"/>
                <w:right w:val="none" w:sz="0" w:space="0" w:color="auto"/>
              </w:divBdr>
            </w:div>
            <w:div w:id="2117628140">
              <w:marLeft w:val="0"/>
              <w:marRight w:val="0"/>
              <w:marTop w:val="0"/>
              <w:marBottom w:val="0"/>
              <w:divBdr>
                <w:top w:val="none" w:sz="0" w:space="0" w:color="auto"/>
                <w:left w:val="none" w:sz="0" w:space="0" w:color="auto"/>
                <w:bottom w:val="none" w:sz="0" w:space="0" w:color="auto"/>
                <w:right w:val="none" w:sz="0" w:space="0" w:color="auto"/>
              </w:divBdr>
            </w:div>
            <w:div w:id="679699897">
              <w:marLeft w:val="0"/>
              <w:marRight w:val="0"/>
              <w:marTop w:val="0"/>
              <w:marBottom w:val="0"/>
              <w:divBdr>
                <w:top w:val="none" w:sz="0" w:space="0" w:color="auto"/>
                <w:left w:val="none" w:sz="0" w:space="0" w:color="auto"/>
                <w:bottom w:val="none" w:sz="0" w:space="0" w:color="auto"/>
                <w:right w:val="none" w:sz="0" w:space="0" w:color="auto"/>
              </w:divBdr>
            </w:div>
            <w:div w:id="1175921607">
              <w:marLeft w:val="0"/>
              <w:marRight w:val="0"/>
              <w:marTop w:val="0"/>
              <w:marBottom w:val="0"/>
              <w:divBdr>
                <w:top w:val="none" w:sz="0" w:space="0" w:color="auto"/>
                <w:left w:val="none" w:sz="0" w:space="0" w:color="auto"/>
                <w:bottom w:val="none" w:sz="0" w:space="0" w:color="auto"/>
                <w:right w:val="none" w:sz="0" w:space="0" w:color="auto"/>
              </w:divBdr>
            </w:div>
            <w:div w:id="2016684556">
              <w:marLeft w:val="0"/>
              <w:marRight w:val="0"/>
              <w:marTop w:val="0"/>
              <w:marBottom w:val="0"/>
              <w:divBdr>
                <w:top w:val="none" w:sz="0" w:space="0" w:color="auto"/>
                <w:left w:val="none" w:sz="0" w:space="0" w:color="auto"/>
                <w:bottom w:val="none" w:sz="0" w:space="0" w:color="auto"/>
                <w:right w:val="none" w:sz="0" w:space="0" w:color="auto"/>
              </w:divBdr>
            </w:div>
            <w:div w:id="1693189563">
              <w:marLeft w:val="0"/>
              <w:marRight w:val="0"/>
              <w:marTop w:val="0"/>
              <w:marBottom w:val="0"/>
              <w:divBdr>
                <w:top w:val="none" w:sz="0" w:space="0" w:color="auto"/>
                <w:left w:val="none" w:sz="0" w:space="0" w:color="auto"/>
                <w:bottom w:val="none" w:sz="0" w:space="0" w:color="auto"/>
                <w:right w:val="none" w:sz="0" w:space="0" w:color="auto"/>
              </w:divBdr>
            </w:div>
            <w:div w:id="798575578">
              <w:marLeft w:val="0"/>
              <w:marRight w:val="0"/>
              <w:marTop w:val="0"/>
              <w:marBottom w:val="0"/>
              <w:divBdr>
                <w:top w:val="none" w:sz="0" w:space="0" w:color="auto"/>
                <w:left w:val="none" w:sz="0" w:space="0" w:color="auto"/>
                <w:bottom w:val="none" w:sz="0" w:space="0" w:color="auto"/>
                <w:right w:val="none" w:sz="0" w:space="0" w:color="auto"/>
              </w:divBdr>
            </w:div>
            <w:div w:id="506821811">
              <w:marLeft w:val="0"/>
              <w:marRight w:val="0"/>
              <w:marTop w:val="0"/>
              <w:marBottom w:val="0"/>
              <w:divBdr>
                <w:top w:val="none" w:sz="0" w:space="0" w:color="auto"/>
                <w:left w:val="none" w:sz="0" w:space="0" w:color="auto"/>
                <w:bottom w:val="none" w:sz="0" w:space="0" w:color="auto"/>
                <w:right w:val="none" w:sz="0" w:space="0" w:color="auto"/>
              </w:divBdr>
            </w:div>
            <w:div w:id="219946996">
              <w:marLeft w:val="0"/>
              <w:marRight w:val="0"/>
              <w:marTop w:val="0"/>
              <w:marBottom w:val="0"/>
              <w:divBdr>
                <w:top w:val="none" w:sz="0" w:space="0" w:color="auto"/>
                <w:left w:val="none" w:sz="0" w:space="0" w:color="auto"/>
                <w:bottom w:val="none" w:sz="0" w:space="0" w:color="auto"/>
                <w:right w:val="none" w:sz="0" w:space="0" w:color="auto"/>
              </w:divBdr>
            </w:div>
            <w:div w:id="1559587403">
              <w:marLeft w:val="0"/>
              <w:marRight w:val="0"/>
              <w:marTop w:val="0"/>
              <w:marBottom w:val="0"/>
              <w:divBdr>
                <w:top w:val="none" w:sz="0" w:space="0" w:color="auto"/>
                <w:left w:val="none" w:sz="0" w:space="0" w:color="auto"/>
                <w:bottom w:val="none" w:sz="0" w:space="0" w:color="auto"/>
                <w:right w:val="none" w:sz="0" w:space="0" w:color="auto"/>
              </w:divBdr>
            </w:div>
            <w:div w:id="2107266556">
              <w:marLeft w:val="0"/>
              <w:marRight w:val="0"/>
              <w:marTop w:val="0"/>
              <w:marBottom w:val="0"/>
              <w:divBdr>
                <w:top w:val="none" w:sz="0" w:space="0" w:color="auto"/>
                <w:left w:val="none" w:sz="0" w:space="0" w:color="auto"/>
                <w:bottom w:val="none" w:sz="0" w:space="0" w:color="auto"/>
                <w:right w:val="none" w:sz="0" w:space="0" w:color="auto"/>
              </w:divBdr>
            </w:div>
            <w:div w:id="1473669421">
              <w:marLeft w:val="0"/>
              <w:marRight w:val="0"/>
              <w:marTop w:val="0"/>
              <w:marBottom w:val="0"/>
              <w:divBdr>
                <w:top w:val="none" w:sz="0" w:space="0" w:color="auto"/>
                <w:left w:val="none" w:sz="0" w:space="0" w:color="auto"/>
                <w:bottom w:val="none" w:sz="0" w:space="0" w:color="auto"/>
                <w:right w:val="none" w:sz="0" w:space="0" w:color="auto"/>
              </w:divBdr>
            </w:div>
            <w:div w:id="1140463582">
              <w:marLeft w:val="0"/>
              <w:marRight w:val="0"/>
              <w:marTop w:val="0"/>
              <w:marBottom w:val="0"/>
              <w:divBdr>
                <w:top w:val="none" w:sz="0" w:space="0" w:color="auto"/>
                <w:left w:val="none" w:sz="0" w:space="0" w:color="auto"/>
                <w:bottom w:val="none" w:sz="0" w:space="0" w:color="auto"/>
                <w:right w:val="none" w:sz="0" w:space="0" w:color="auto"/>
              </w:divBdr>
            </w:div>
            <w:div w:id="1667436607">
              <w:marLeft w:val="0"/>
              <w:marRight w:val="0"/>
              <w:marTop w:val="0"/>
              <w:marBottom w:val="0"/>
              <w:divBdr>
                <w:top w:val="none" w:sz="0" w:space="0" w:color="auto"/>
                <w:left w:val="none" w:sz="0" w:space="0" w:color="auto"/>
                <w:bottom w:val="none" w:sz="0" w:space="0" w:color="auto"/>
                <w:right w:val="none" w:sz="0" w:space="0" w:color="auto"/>
              </w:divBdr>
            </w:div>
            <w:div w:id="798376365">
              <w:marLeft w:val="0"/>
              <w:marRight w:val="0"/>
              <w:marTop w:val="0"/>
              <w:marBottom w:val="0"/>
              <w:divBdr>
                <w:top w:val="none" w:sz="0" w:space="0" w:color="auto"/>
                <w:left w:val="none" w:sz="0" w:space="0" w:color="auto"/>
                <w:bottom w:val="none" w:sz="0" w:space="0" w:color="auto"/>
                <w:right w:val="none" w:sz="0" w:space="0" w:color="auto"/>
              </w:divBdr>
            </w:div>
            <w:div w:id="627970913">
              <w:marLeft w:val="0"/>
              <w:marRight w:val="0"/>
              <w:marTop w:val="0"/>
              <w:marBottom w:val="0"/>
              <w:divBdr>
                <w:top w:val="none" w:sz="0" w:space="0" w:color="auto"/>
                <w:left w:val="none" w:sz="0" w:space="0" w:color="auto"/>
                <w:bottom w:val="none" w:sz="0" w:space="0" w:color="auto"/>
                <w:right w:val="none" w:sz="0" w:space="0" w:color="auto"/>
              </w:divBdr>
            </w:div>
            <w:div w:id="1096055011">
              <w:marLeft w:val="0"/>
              <w:marRight w:val="0"/>
              <w:marTop w:val="0"/>
              <w:marBottom w:val="0"/>
              <w:divBdr>
                <w:top w:val="none" w:sz="0" w:space="0" w:color="auto"/>
                <w:left w:val="none" w:sz="0" w:space="0" w:color="auto"/>
                <w:bottom w:val="none" w:sz="0" w:space="0" w:color="auto"/>
                <w:right w:val="none" w:sz="0" w:space="0" w:color="auto"/>
              </w:divBdr>
            </w:div>
            <w:div w:id="876699694">
              <w:marLeft w:val="0"/>
              <w:marRight w:val="0"/>
              <w:marTop w:val="0"/>
              <w:marBottom w:val="0"/>
              <w:divBdr>
                <w:top w:val="none" w:sz="0" w:space="0" w:color="auto"/>
                <w:left w:val="none" w:sz="0" w:space="0" w:color="auto"/>
                <w:bottom w:val="none" w:sz="0" w:space="0" w:color="auto"/>
                <w:right w:val="none" w:sz="0" w:space="0" w:color="auto"/>
              </w:divBdr>
            </w:div>
            <w:div w:id="1567573186">
              <w:marLeft w:val="0"/>
              <w:marRight w:val="0"/>
              <w:marTop w:val="0"/>
              <w:marBottom w:val="0"/>
              <w:divBdr>
                <w:top w:val="none" w:sz="0" w:space="0" w:color="auto"/>
                <w:left w:val="none" w:sz="0" w:space="0" w:color="auto"/>
                <w:bottom w:val="none" w:sz="0" w:space="0" w:color="auto"/>
                <w:right w:val="none" w:sz="0" w:space="0" w:color="auto"/>
              </w:divBdr>
            </w:div>
            <w:div w:id="350113485">
              <w:marLeft w:val="0"/>
              <w:marRight w:val="0"/>
              <w:marTop w:val="0"/>
              <w:marBottom w:val="0"/>
              <w:divBdr>
                <w:top w:val="none" w:sz="0" w:space="0" w:color="auto"/>
                <w:left w:val="none" w:sz="0" w:space="0" w:color="auto"/>
                <w:bottom w:val="none" w:sz="0" w:space="0" w:color="auto"/>
                <w:right w:val="none" w:sz="0" w:space="0" w:color="auto"/>
              </w:divBdr>
            </w:div>
            <w:div w:id="1734155730">
              <w:marLeft w:val="0"/>
              <w:marRight w:val="0"/>
              <w:marTop w:val="0"/>
              <w:marBottom w:val="0"/>
              <w:divBdr>
                <w:top w:val="none" w:sz="0" w:space="0" w:color="auto"/>
                <w:left w:val="none" w:sz="0" w:space="0" w:color="auto"/>
                <w:bottom w:val="none" w:sz="0" w:space="0" w:color="auto"/>
                <w:right w:val="none" w:sz="0" w:space="0" w:color="auto"/>
              </w:divBdr>
            </w:div>
            <w:div w:id="885407874">
              <w:marLeft w:val="0"/>
              <w:marRight w:val="0"/>
              <w:marTop w:val="0"/>
              <w:marBottom w:val="0"/>
              <w:divBdr>
                <w:top w:val="none" w:sz="0" w:space="0" w:color="auto"/>
                <w:left w:val="none" w:sz="0" w:space="0" w:color="auto"/>
                <w:bottom w:val="none" w:sz="0" w:space="0" w:color="auto"/>
                <w:right w:val="none" w:sz="0" w:space="0" w:color="auto"/>
              </w:divBdr>
            </w:div>
            <w:div w:id="220098432">
              <w:marLeft w:val="0"/>
              <w:marRight w:val="0"/>
              <w:marTop w:val="0"/>
              <w:marBottom w:val="0"/>
              <w:divBdr>
                <w:top w:val="none" w:sz="0" w:space="0" w:color="auto"/>
                <w:left w:val="none" w:sz="0" w:space="0" w:color="auto"/>
                <w:bottom w:val="none" w:sz="0" w:space="0" w:color="auto"/>
                <w:right w:val="none" w:sz="0" w:space="0" w:color="auto"/>
              </w:divBdr>
            </w:div>
            <w:div w:id="2066636744">
              <w:marLeft w:val="0"/>
              <w:marRight w:val="0"/>
              <w:marTop w:val="0"/>
              <w:marBottom w:val="0"/>
              <w:divBdr>
                <w:top w:val="none" w:sz="0" w:space="0" w:color="auto"/>
                <w:left w:val="none" w:sz="0" w:space="0" w:color="auto"/>
                <w:bottom w:val="none" w:sz="0" w:space="0" w:color="auto"/>
                <w:right w:val="none" w:sz="0" w:space="0" w:color="auto"/>
              </w:divBdr>
            </w:div>
            <w:div w:id="22102219">
              <w:marLeft w:val="0"/>
              <w:marRight w:val="0"/>
              <w:marTop w:val="0"/>
              <w:marBottom w:val="0"/>
              <w:divBdr>
                <w:top w:val="none" w:sz="0" w:space="0" w:color="auto"/>
                <w:left w:val="none" w:sz="0" w:space="0" w:color="auto"/>
                <w:bottom w:val="none" w:sz="0" w:space="0" w:color="auto"/>
                <w:right w:val="none" w:sz="0" w:space="0" w:color="auto"/>
              </w:divBdr>
            </w:div>
            <w:div w:id="967708310">
              <w:marLeft w:val="0"/>
              <w:marRight w:val="0"/>
              <w:marTop w:val="0"/>
              <w:marBottom w:val="0"/>
              <w:divBdr>
                <w:top w:val="none" w:sz="0" w:space="0" w:color="auto"/>
                <w:left w:val="none" w:sz="0" w:space="0" w:color="auto"/>
                <w:bottom w:val="none" w:sz="0" w:space="0" w:color="auto"/>
                <w:right w:val="none" w:sz="0" w:space="0" w:color="auto"/>
              </w:divBdr>
            </w:div>
            <w:div w:id="1721173031">
              <w:marLeft w:val="0"/>
              <w:marRight w:val="0"/>
              <w:marTop w:val="0"/>
              <w:marBottom w:val="0"/>
              <w:divBdr>
                <w:top w:val="none" w:sz="0" w:space="0" w:color="auto"/>
                <w:left w:val="none" w:sz="0" w:space="0" w:color="auto"/>
                <w:bottom w:val="none" w:sz="0" w:space="0" w:color="auto"/>
                <w:right w:val="none" w:sz="0" w:space="0" w:color="auto"/>
              </w:divBdr>
            </w:div>
            <w:div w:id="384715626">
              <w:marLeft w:val="0"/>
              <w:marRight w:val="0"/>
              <w:marTop w:val="0"/>
              <w:marBottom w:val="0"/>
              <w:divBdr>
                <w:top w:val="none" w:sz="0" w:space="0" w:color="auto"/>
                <w:left w:val="none" w:sz="0" w:space="0" w:color="auto"/>
                <w:bottom w:val="none" w:sz="0" w:space="0" w:color="auto"/>
                <w:right w:val="none" w:sz="0" w:space="0" w:color="auto"/>
              </w:divBdr>
            </w:div>
            <w:div w:id="536742115">
              <w:marLeft w:val="0"/>
              <w:marRight w:val="0"/>
              <w:marTop w:val="0"/>
              <w:marBottom w:val="0"/>
              <w:divBdr>
                <w:top w:val="none" w:sz="0" w:space="0" w:color="auto"/>
                <w:left w:val="none" w:sz="0" w:space="0" w:color="auto"/>
                <w:bottom w:val="none" w:sz="0" w:space="0" w:color="auto"/>
                <w:right w:val="none" w:sz="0" w:space="0" w:color="auto"/>
              </w:divBdr>
            </w:div>
            <w:div w:id="903295621">
              <w:marLeft w:val="0"/>
              <w:marRight w:val="0"/>
              <w:marTop w:val="0"/>
              <w:marBottom w:val="0"/>
              <w:divBdr>
                <w:top w:val="none" w:sz="0" w:space="0" w:color="auto"/>
                <w:left w:val="none" w:sz="0" w:space="0" w:color="auto"/>
                <w:bottom w:val="none" w:sz="0" w:space="0" w:color="auto"/>
                <w:right w:val="none" w:sz="0" w:space="0" w:color="auto"/>
              </w:divBdr>
            </w:div>
            <w:div w:id="1064599229">
              <w:marLeft w:val="0"/>
              <w:marRight w:val="0"/>
              <w:marTop w:val="0"/>
              <w:marBottom w:val="0"/>
              <w:divBdr>
                <w:top w:val="none" w:sz="0" w:space="0" w:color="auto"/>
                <w:left w:val="none" w:sz="0" w:space="0" w:color="auto"/>
                <w:bottom w:val="none" w:sz="0" w:space="0" w:color="auto"/>
                <w:right w:val="none" w:sz="0" w:space="0" w:color="auto"/>
              </w:divBdr>
            </w:div>
            <w:div w:id="112407390">
              <w:marLeft w:val="0"/>
              <w:marRight w:val="0"/>
              <w:marTop w:val="0"/>
              <w:marBottom w:val="0"/>
              <w:divBdr>
                <w:top w:val="none" w:sz="0" w:space="0" w:color="auto"/>
                <w:left w:val="none" w:sz="0" w:space="0" w:color="auto"/>
                <w:bottom w:val="none" w:sz="0" w:space="0" w:color="auto"/>
                <w:right w:val="none" w:sz="0" w:space="0" w:color="auto"/>
              </w:divBdr>
            </w:div>
            <w:div w:id="5331618">
              <w:marLeft w:val="0"/>
              <w:marRight w:val="0"/>
              <w:marTop w:val="0"/>
              <w:marBottom w:val="0"/>
              <w:divBdr>
                <w:top w:val="none" w:sz="0" w:space="0" w:color="auto"/>
                <w:left w:val="none" w:sz="0" w:space="0" w:color="auto"/>
                <w:bottom w:val="none" w:sz="0" w:space="0" w:color="auto"/>
                <w:right w:val="none" w:sz="0" w:space="0" w:color="auto"/>
              </w:divBdr>
            </w:div>
            <w:div w:id="1330139765">
              <w:marLeft w:val="0"/>
              <w:marRight w:val="0"/>
              <w:marTop w:val="0"/>
              <w:marBottom w:val="0"/>
              <w:divBdr>
                <w:top w:val="none" w:sz="0" w:space="0" w:color="auto"/>
                <w:left w:val="none" w:sz="0" w:space="0" w:color="auto"/>
                <w:bottom w:val="none" w:sz="0" w:space="0" w:color="auto"/>
                <w:right w:val="none" w:sz="0" w:space="0" w:color="auto"/>
              </w:divBdr>
            </w:div>
            <w:div w:id="2038584023">
              <w:marLeft w:val="0"/>
              <w:marRight w:val="0"/>
              <w:marTop w:val="0"/>
              <w:marBottom w:val="0"/>
              <w:divBdr>
                <w:top w:val="none" w:sz="0" w:space="0" w:color="auto"/>
                <w:left w:val="none" w:sz="0" w:space="0" w:color="auto"/>
                <w:bottom w:val="none" w:sz="0" w:space="0" w:color="auto"/>
                <w:right w:val="none" w:sz="0" w:space="0" w:color="auto"/>
              </w:divBdr>
            </w:div>
            <w:div w:id="1948850683">
              <w:marLeft w:val="0"/>
              <w:marRight w:val="0"/>
              <w:marTop w:val="0"/>
              <w:marBottom w:val="0"/>
              <w:divBdr>
                <w:top w:val="none" w:sz="0" w:space="0" w:color="auto"/>
                <w:left w:val="none" w:sz="0" w:space="0" w:color="auto"/>
                <w:bottom w:val="none" w:sz="0" w:space="0" w:color="auto"/>
                <w:right w:val="none" w:sz="0" w:space="0" w:color="auto"/>
              </w:divBdr>
            </w:div>
            <w:div w:id="861363075">
              <w:marLeft w:val="0"/>
              <w:marRight w:val="0"/>
              <w:marTop w:val="0"/>
              <w:marBottom w:val="0"/>
              <w:divBdr>
                <w:top w:val="none" w:sz="0" w:space="0" w:color="auto"/>
                <w:left w:val="none" w:sz="0" w:space="0" w:color="auto"/>
                <w:bottom w:val="none" w:sz="0" w:space="0" w:color="auto"/>
                <w:right w:val="none" w:sz="0" w:space="0" w:color="auto"/>
              </w:divBdr>
            </w:div>
            <w:div w:id="2106070389">
              <w:marLeft w:val="0"/>
              <w:marRight w:val="0"/>
              <w:marTop w:val="0"/>
              <w:marBottom w:val="0"/>
              <w:divBdr>
                <w:top w:val="none" w:sz="0" w:space="0" w:color="auto"/>
                <w:left w:val="none" w:sz="0" w:space="0" w:color="auto"/>
                <w:bottom w:val="none" w:sz="0" w:space="0" w:color="auto"/>
                <w:right w:val="none" w:sz="0" w:space="0" w:color="auto"/>
              </w:divBdr>
            </w:div>
            <w:div w:id="2140758455">
              <w:marLeft w:val="0"/>
              <w:marRight w:val="0"/>
              <w:marTop w:val="0"/>
              <w:marBottom w:val="0"/>
              <w:divBdr>
                <w:top w:val="none" w:sz="0" w:space="0" w:color="auto"/>
                <w:left w:val="none" w:sz="0" w:space="0" w:color="auto"/>
                <w:bottom w:val="none" w:sz="0" w:space="0" w:color="auto"/>
                <w:right w:val="none" w:sz="0" w:space="0" w:color="auto"/>
              </w:divBdr>
            </w:div>
            <w:div w:id="1226717163">
              <w:marLeft w:val="0"/>
              <w:marRight w:val="0"/>
              <w:marTop w:val="0"/>
              <w:marBottom w:val="0"/>
              <w:divBdr>
                <w:top w:val="none" w:sz="0" w:space="0" w:color="auto"/>
                <w:left w:val="none" w:sz="0" w:space="0" w:color="auto"/>
                <w:bottom w:val="none" w:sz="0" w:space="0" w:color="auto"/>
                <w:right w:val="none" w:sz="0" w:space="0" w:color="auto"/>
              </w:divBdr>
            </w:div>
            <w:div w:id="1225532792">
              <w:marLeft w:val="0"/>
              <w:marRight w:val="0"/>
              <w:marTop w:val="0"/>
              <w:marBottom w:val="0"/>
              <w:divBdr>
                <w:top w:val="none" w:sz="0" w:space="0" w:color="auto"/>
                <w:left w:val="none" w:sz="0" w:space="0" w:color="auto"/>
                <w:bottom w:val="none" w:sz="0" w:space="0" w:color="auto"/>
                <w:right w:val="none" w:sz="0" w:space="0" w:color="auto"/>
              </w:divBdr>
            </w:div>
            <w:div w:id="228731349">
              <w:marLeft w:val="0"/>
              <w:marRight w:val="0"/>
              <w:marTop w:val="0"/>
              <w:marBottom w:val="0"/>
              <w:divBdr>
                <w:top w:val="none" w:sz="0" w:space="0" w:color="auto"/>
                <w:left w:val="none" w:sz="0" w:space="0" w:color="auto"/>
                <w:bottom w:val="none" w:sz="0" w:space="0" w:color="auto"/>
                <w:right w:val="none" w:sz="0" w:space="0" w:color="auto"/>
              </w:divBdr>
            </w:div>
            <w:div w:id="95252105">
              <w:marLeft w:val="0"/>
              <w:marRight w:val="0"/>
              <w:marTop w:val="0"/>
              <w:marBottom w:val="0"/>
              <w:divBdr>
                <w:top w:val="none" w:sz="0" w:space="0" w:color="auto"/>
                <w:left w:val="none" w:sz="0" w:space="0" w:color="auto"/>
                <w:bottom w:val="none" w:sz="0" w:space="0" w:color="auto"/>
                <w:right w:val="none" w:sz="0" w:space="0" w:color="auto"/>
              </w:divBdr>
            </w:div>
            <w:div w:id="442269514">
              <w:marLeft w:val="0"/>
              <w:marRight w:val="0"/>
              <w:marTop w:val="0"/>
              <w:marBottom w:val="0"/>
              <w:divBdr>
                <w:top w:val="none" w:sz="0" w:space="0" w:color="auto"/>
                <w:left w:val="none" w:sz="0" w:space="0" w:color="auto"/>
                <w:bottom w:val="none" w:sz="0" w:space="0" w:color="auto"/>
                <w:right w:val="none" w:sz="0" w:space="0" w:color="auto"/>
              </w:divBdr>
            </w:div>
            <w:div w:id="1919434259">
              <w:marLeft w:val="0"/>
              <w:marRight w:val="0"/>
              <w:marTop w:val="0"/>
              <w:marBottom w:val="0"/>
              <w:divBdr>
                <w:top w:val="none" w:sz="0" w:space="0" w:color="auto"/>
                <w:left w:val="none" w:sz="0" w:space="0" w:color="auto"/>
                <w:bottom w:val="none" w:sz="0" w:space="0" w:color="auto"/>
                <w:right w:val="none" w:sz="0" w:space="0" w:color="auto"/>
              </w:divBdr>
            </w:div>
            <w:div w:id="1231773719">
              <w:marLeft w:val="0"/>
              <w:marRight w:val="0"/>
              <w:marTop w:val="0"/>
              <w:marBottom w:val="0"/>
              <w:divBdr>
                <w:top w:val="none" w:sz="0" w:space="0" w:color="auto"/>
                <w:left w:val="none" w:sz="0" w:space="0" w:color="auto"/>
                <w:bottom w:val="none" w:sz="0" w:space="0" w:color="auto"/>
                <w:right w:val="none" w:sz="0" w:space="0" w:color="auto"/>
              </w:divBdr>
            </w:div>
            <w:div w:id="665203689">
              <w:marLeft w:val="0"/>
              <w:marRight w:val="0"/>
              <w:marTop w:val="0"/>
              <w:marBottom w:val="0"/>
              <w:divBdr>
                <w:top w:val="none" w:sz="0" w:space="0" w:color="auto"/>
                <w:left w:val="none" w:sz="0" w:space="0" w:color="auto"/>
                <w:bottom w:val="none" w:sz="0" w:space="0" w:color="auto"/>
                <w:right w:val="none" w:sz="0" w:space="0" w:color="auto"/>
              </w:divBdr>
            </w:div>
            <w:div w:id="2084796129">
              <w:marLeft w:val="0"/>
              <w:marRight w:val="0"/>
              <w:marTop w:val="0"/>
              <w:marBottom w:val="0"/>
              <w:divBdr>
                <w:top w:val="none" w:sz="0" w:space="0" w:color="auto"/>
                <w:left w:val="none" w:sz="0" w:space="0" w:color="auto"/>
                <w:bottom w:val="none" w:sz="0" w:space="0" w:color="auto"/>
                <w:right w:val="none" w:sz="0" w:space="0" w:color="auto"/>
              </w:divBdr>
            </w:div>
            <w:div w:id="1322999060">
              <w:marLeft w:val="0"/>
              <w:marRight w:val="0"/>
              <w:marTop w:val="0"/>
              <w:marBottom w:val="0"/>
              <w:divBdr>
                <w:top w:val="none" w:sz="0" w:space="0" w:color="auto"/>
                <w:left w:val="none" w:sz="0" w:space="0" w:color="auto"/>
                <w:bottom w:val="none" w:sz="0" w:space="0" w:color="auto"/>
                <w:right w:val="none" w:sz="0" w:space="0" w:color="auto"/>
              </w:divBdr>
            </w:div>
            <w:div w:id="932281031">
              <w:marLeft w:val="0"/>
              <w:marRight w:val="0"/>
              <w:marTop w:val="0"/>
              <w:marBottom w:val="0"/>
              <w:divBdr>
                <w:top w:val="none" w:sz="0" w:space="0" w:color="auto"/>
                <w:left w:val="none" w:sz="0" w:space="0" w:color="auto"/>
                <w:bottom w:val="none" w:sz="0" w:space="0" w:color="auto"/>
                <w:right w:val="none" w:sz="0" w:space="0" w:color="auto"/>
              </w:divBdr>
            </w:div>
            <w:div w:id="1284844569">
              <w:marLeft w:val="0"/>
              <w:marRight w:val="0"/>
              <w:marTop w:val="0"/>
              <w:marBottom w:val="0"/>
              <w:divBdr>
                <w:top w:val="none" w:sz="0" w:space="0" w:color="auto"/>
                <w:left w:val="none" w:sz="0" w:space="0" w:color="auto"/>
                <w:bottom w:val="none" w:sz="0" w:space="0" w:color="auto"/>
                <w:right w:val="none" w:sz="0" w:space="0" w:color="auto"/>
              </w:divBdr>
            </w:div>
            <w:div w:id="910509063">
              <w:marLeft w:val="0"/>
              <w:marRight w:val="0"/>
              <w:marTop w:val="0"/>
              <w:marBottom w:val="0"/>
              <w:divBdr>
                <w:top w:val="none" w:sz="0" w:space="0" w:color="auto"/>
                <w:left w:val="none" w:sz="0" w:space="0" w:color="auto"/>
                <w:bottom w:val="none" w:sz="0" w:space="0" w:color="auto"/>
                <w:right w:val="none" w:sz="0" w:space="0" w:color="auto"/>
              </w:divBdr>
            </w:div>
            <w:div w:id="1720980578">
              <w:marLeft w:val="0"/>
              <w:marRight w:val="0"/>
              <w:marTop w:val="0"/>
              <w:marBottom w:val="0"/>
              <w:divBdr>
                <w:top w:val="none" w:sz="0" w:space="0" w:color="auto"/>
                <w:left w:val="none" w:sz="0" w:space="0" w:color="auto"/>
                <w:bottom w:val="none" w:sz="0" w:space="0" w:color="auto"/>
                <w:right w:val="none" w:sz="0" w:space="0" w:color="auto"/>
              </w:divBdr>
            </w:div>
            <w:div w:id="27920674">
              <w:marLeft w:val="0"/>
              <w:marRight w:val="0"/>
              <w:marTop w:val="0"/>
              <w:marBottom w:val="0"/>
              <w:divBdr>
                <w:top w:val="none" w:sz="0" w:space="0" w:color="auto"/>
                <w:left w:val="none" w:sz="0" w:space="0" w:color="auto"/>
                <w:bottom w:val="none" w:sz="0" w:space="0" w:color="auto"/>
                <w:right w:val="none" w:sz="0" w:space="0" w:color="auto"/>
              </w:divBdr>
            </w:div>
            <w:div w:id="1836801289">
              <w:marLeft w:val="0"/>
              <w:marRight w:val="0"/>
              <w:marTop w:val="0"/>
              <w:marBottom w:val="0"/>
              <w:divBdr>
                <w:top w:val="none" w:sz="0" w:space="0" w:color="auto"/>
                <w:left w:val="none" w:sz="0" w:space="0" w:color="auto"/>
                <w:bottom w:val="none" w:sz="0" w:space="0" w:color="auto"/>
                <w:right w:val="none" w:sz="0" w:space="0" w:color="auto"/>
              </w:divBdr>
            </w:div>
            <w:div w:id="676007360">
              <w:marLeft w:val="0"/>
              <w:marRight w:val="0"/>
              <w:marTop w:val="0"/>
              <w:marBottom w:val="0"/>
              <w:divBdr>
                <w:top w:val="none" w:sz="0" w:space="0" w:color="auto"/>
                <w:left w:val="none" w:sz="0" w:space="0" w:color="auto"/>
                <w:bottom w:val="none" w:sz="0" w:space="0" w:color="auto"/>
                <w:right w:val="none" w:sz="0" w:space="0" w:color="auto"/>
              </w:divBdr>
            </w:div>
            <w:div w:id="1154420381">
              <w:marLeft w:val="0"/>
              <w:marRight w:val="0"/>
              <w:marTop w:val="0"/>
              <w:marBottom w:val="0"/>
              <w:divBdr>
                <w:top w:val="none" w:sz="0" w:space="0" w:color="auto"/>
                <w:left w:val="none" w:sz="0" w:space="0" w:color="auto"/>
                <w:bottom w:val="none" w:sz="0" w:space="0" w:color="auto"/>
                <w:right w:val="none" w:sz="0" w:space="0" w:color="auto"/>
              </w:divBdr>
            </w:div>
            <w:div w:id="2118406969">
              <w:marLeft w:val="0"/>
              <w:marRight w:val="0"/>
              <w:marTop w:val="0"/>
              <w:marBottom w:val="0"/>
              <w:divBdr>
                <w:top w:val="none" w:sz="0" w:space="0" w:color="auto"/>
                <w:left w:val="none" w:sz="0" w:space="0" w:color="auto"/>
                <w:bottom w:val="none" w:sz="0" w:space="0" w:color="auto"/>
                <w:right w:val="none" w:sz="0" w:space="0" w:color="auto"/>
              </w:divBdr>
            </w:div>
            <w:div w:id="1043022737">
              <w:marLeft w:val="0"/>
              <w:marRight w:val="0"/>
              <w:marTop w:val="0"/>
              <w:marBottom w:val="0"/>
              <w:divBdr>
                <w:top w:val="none" w:sz="0" w:space="0" w:color="auto"/>
                <w:left w:val="none" w:sz="0" w:space="0" w:color="auto"/>
                <w:bottom w:val="none" w:sz="0" w:space="0" w:color="auto"/>
                <w:right w:val="none" w:sz="0" w:space="0" w:color="auto"/>
              </w:divBdr>
            </w:div>
            <w:div w:id="54014059">
              <w:marLeft w:val="0"/>
              <w:marRight w:val="0"/>
              <w:marTop w:val="0"/>
              <w:marBottom w:val="0"/>
              <w:divBdr>
                <w:top w:val="none" w:sz="0" w:space="0" w:color="auto"/>
                <w:left w:val="none" w:sz="0" w:space="0" w:color="auto"/>
                <w:bottom w:val="none" w:sz="0" w:space="0" w:color="auto"/>
                <w:right w:val="none" w:sz="0" w:space="0" w:color="auto"/>
              </w:divBdr>
            </w:div>
            <w:div w:id="778450216">
              <w:marLeft w:val="0"/>
              <w:marRight w:val="0"/>
              <w:marTop w:val="0"/>
              <w:marBottom w:val="0"/>
              <w:divBdr>
                <w:top w:val="none" w:sz="0" w:space="0" w:color="auto"/>
                <w:left w:val="none" w:sz="0" w:space="0" w:color="auto"/>
                <w:bottom w:val="none" w:sz="0" w:space="0" w:color="auto"/>
                <w:right w:val="none" w:sz="0" w:space="0" w:color="auto"/>
              </w:divBdr>
            </w:div>
            <w:div w:id="1096291539">
              <w:marLeft w:val="0"/>
              <w:marRight w:val="0"/>
              <w:marTop w:val="0"/>
              <w:marBottom w:val="0"/>
              <w:divBdr>
                <w:top w:val="none" w:sz="0" w:space="0" w:color="auto"/>
                <w:left w:val="none" w:sz="0" w:space="0" w:color="auto"/>
                <w:bottom w:val="none" w:sz="0" w:space="0" w:color="auto"/>
                <w:right w:val="none" w:sz="0" w:space="0" w:color="auto"/>
              </w:divBdr>
            </w:div>
            <w:div w:id="193085130">
              <w:marLeft w:val="0"/>
              <w:marRight w:val="0"/>
              <w:marTop w:val="0"/>
              <w:marBottom w:val="0"/>
              <w:divBdr>
                <w:top w:val="none" w:sz="0" w:space="0" w:color="auto"/>
                <w:left w:val="none" w:sz="0" w:space="0" w:color="auto"/>
                <w:bottom w:val="none" w:sz="0" w:space="0" w:color="auto"/>
                <w:right w:val="none" w:sz="0" w:space="0" w:color="auto"/>
              </w:divBdr>
            </w:div>
            <w:div w:id="1449734115">
              <w:marLeft w:val="0"/>
              <w:marRight w:val="0"/>
              <w:marTop w:val="0"/>
              <w:marBottom w:val="0"/>
              <w:divBdr>
                <w:top w:val="none" w:sz="0" w:space="0" w:color="auto"/>
                <w:left w:val="none" w:sz="0" w:space="0" w:color="auto"/>
                <w:bottom w:val="none" w:sz="0" w:space="0" w:color="auto"/>
                <w:right w:val="none" w:sz="0" w:space="0" w:color="auto"/>
              </w:divBdr>
            </w:div>
            <w:div w:id="1237521387">
              <w:marLeft w:val="0"/>
              <w:marRight w:val="0"/>
              <w:marTop w:val="0"/>
              <w:marBottom w:val="0"/>
              <w:divBdr>
                <w:top w:val="none" w:sz="0" w:space="0" w:color="auto"/>
                <w:left w:val="none" w:sz="0" w:space="0" w:color="auto"/>
                <w:bottom w:val="none" w:sz="0" w:space="0" w:color="auto"/>
                <w:right w:val="none" w:sz="0" w:space="0" w:color="auto"/>
              </w:divBdr>
            </w:div>
            <w:div w:id="1805539929">
              <w:marLeft w:val="0"/>
              <w:marRight w:val="0"/>
              <w:marTop w:val="0"/>
              <w:marBottom w:val="0"/>
              <w:divBdr>
                <w:top w:val="none" w:sz="0" w:space="0" w:color="auto"/>
                <w:left w:val="none" w:sz="0" w:space="0" w:color="auto"/>
                <w:bottom w:val="none" w:sz="0" w:space="0" w:color="auto"/>
                <w:right w:val="none" w:sz="0" w:space="0" w:color="auto"/>
              </w:divBdr>
            </w:div>
            <w:div w:id="528182525">
              <w:marLeft w:val="0"/>
              <w:marRight w:val="0"/>
              <w:marTop w:val="0"/>
              <w:marBottom w:val="0"/>
              <w:divBdr>
                <w:top w:val="none" w:sz="0" w:space="0" w:color="auto"/>
                <w:left w:val="none" w:sz="0" w:space="0" w:color="auto"/>
                <w:bottom w:val="none" w:sz="0" w:space="0" w:color="auto"/>
                <w:right w:val="none" w:sz="0" w:space="0" w:color="auto"/>
              </w:divBdr>
            </w:div>
            <w:div w:id="1490291578">
              <w:marLeft w:val="0"/>
              <w:marRight w:val="0"/>
              <w:marTop w:val="0"/>
              <w:marBottom w:val="0"/>
              <w:divBdr>
                <w:top w:val="none" w:sz="0" w:space="0" w:color="auto"/>
                <w:left w:val="none" w:sz="0" w:space="0" w:color="auto"/>
                <w:bottom w:val="none" w:sz="0" w:space="0" w:color="auto"/>
                <w:right w:val="none" w:sz="0" w:space="0" w:color="auto"/>
              </w:divBdr>
            </w:div>
            <w:div w:id="204753496">
              <w:marLeft w:val="0"/>
              <w:marRight w:val="0"/>
              <w:marTop w:val="0"/>
              <w:marBottom w:val="0"/>
              <w:divBdr>
                <w:top w:val="none" w:sz="0" w:space="0" w:color="auto"/>
                <w:left w:val="none" w:sz="0" w:space="0" w:color="auto"/>
                <w:bottom w:val="none" w:sz="0" w:space="0" w:color="auto"/>
                <w:right w:val="none" w:sz="0" w:space="0" w:color="auto"/>
              </w:divBdr>
            </w:div>
            <w:div w:id="717624954">
              <w:marLeft w:val="0"/>
              <w:marRight w:val="0"/>
              <w:marTop w:val="0"/>
              <w:marBottom w:val="0"/>
              <w:divBdr>
                <w:top w:val="none" w:sz="0" w:space="0" w:color="auto"/>
                <w:left w:val="none" w:sz="0" w:space="0" w:color="auto"/>
                <w:bottom w:val="none" w:sz="0" w:space="0" w:color="auto"/>
                <w:right w:val="none" w:sz="0" w:space="0" w:color="auto"/>
              </w:divBdr>
            </w:div>
            <w:div w:id="309746160">
              <w:marLeft w:val="0"/>
              <w:marRight w:val="0"/>
              <w:marTop w:val="0"/>
              <w:marBottom w:val="0"/>
              <w:divBdr>
                <w:top w:val="none" w:sz="0" w:space="0" w:color="auto"/>
                <w:left w:val="none" w:sz="0" w:space="0" w:color="auto"/>
                <w:bottom w:val="none" w:sz="0" w:space="0" w:color="auto"/>
                <w:right w:val="none" w:sz="0" w:space="0" w:color="auto"/>
              </w:divBdr>
            </w:div>
            <w:div w:id="2109763501">
              <w:marLeft w:val="0"/>
              <w:marRight w:val="0"/>
              <w:marTop w:val="0"/>
              <w:marBottom w:val="0"/>
              <w:divBdr>
                <w:top w:val="none" w:sz="0" w:space="0" w:color="auto"/>
                <w:left w:val="none" w:sz="0" w:space="0" w:color="auto"/>
                <w:bottom w:val="none" w:sz="0" w:space="0" w:color="auto"/>
                <w:right w:val="none" w:sz="0" w:space="0" w:color="auto"/>
              </w:divBdr>
            </w:div>
            <w:div w:id="1291012057">
              <w:marLeft w:val="0"/>
              <w:marRight w:val="0"/>
              <w:marTop w:val="0"/>
              <w:marBottom w:val="0"/>
              <w:divBdr>
                <w:top w:val="none" w:sz="0" w:space="0" w:color="auto"/>
                <w:left w:val="none" w:sz="0" w:space="0" w:color="auto"/>
                <w:bottom w:val="none" w:sz="0" w:space="0" w:color="auto"/>
                <w:right w:val="none" w:sz="0" w:space="0" w:color="auto"/>
              </w:divBdr>
            </w:div>
            <w:div w:id="425349817">
              <w:marLeft w:val="0"/>
              <w:marRight w:val="0"/>
              <w:marTop w:val="0"/>
              <w:marBottom w:val="0"/>
              <w:divBdr>
                <w:top w:val="none" w:sz="0" w:space="0" w:color="auto"/>
                <w:left w:val="none" w:sz="0" w:space="0" w:color="auto"/>
                <w:bottom w:val="none" w:sz="0" w:space="0" w:color="auto"/>
                <w:right w:val="none" w:sz="0" w:space="0" w:color="auto"/>
              </w:divBdr>
            </w:div>
            <w:div w:id="963269004">
              <w:marLeft w:val="0"/>
              <w:marRight w:val="0"/>
              <w:marTop w:val="0"/>
              <w:marBottom w:val="0"/>
              <w:divBdr>
                <w:top w:val="none" w:sz="0" w:space="0" w:color="auto"/>
                <w:left w:val="none" w:sz="0" w:space="0" w:color="auto"/>
                <w:bottom w:val="none" w:sz="0" w:space="0" w:color="auto"/>
                <w:right w:val="none" w:sz="0" w:space="0" w:color="auto"/>
              </w:divBdr>
            </w:div>
            <w:div w:id="434831905">
              <w:marLeft w:val="0"/>
              <w:marRight w:val="0"/>
              <w:marTop w:val="0"/>
              <w:marBottom w:val="0"/>
              <w:divBdr>
                <w:top w:val="none" w:sz="0" w:space="0" w:color="auto"/>
                <w:left w:val="none" w:sz="0" w:space="0" w:color="auto"/>
                <w:bottom w:val="none" w:sz="0" w:space="0" w:color="auto"/>
                <w:right w:val="none" w:sz="0" w:space="0" w:color="auto"/>
              </w:divBdr>
            </w:div>
            <w:div w:id="873882767">
              <w:marLeft w:val="0"/>
              <w:marRight w:val="0"/>
              <w:marTop w:val="0"/>
              <w:marBottom w:val="0"/>
              <w:divBdr>
                <w:top w:val="none" w:sz="0" w:space="0" w:color="auto"/>
                <w:left w:val="none" w:sz="0" w:space="0" w:color="auto"/>
                <w:bottom w:val="none" w:sz="0" w:space="0" w:color="auto"/>
                <w:right w:val="none" w:sz="0" w:space="0" w:color="auto"/>
              </w:divBdr>
            </w:div>
            <w:div w:id="1465467968">
              <w:marLeft w:val="0"/>
              <w:marRight w:val="0"/>
              <w:marTop w:val="0"/>
              <w:marBottom w:val="0"/>
              <w:divBdr>
                <w:top w:val="none" w:sz="0" w:space="0" w:color="auto"/>
                <w:left w:val="none" w:sz="0" w:space="0" w:color="auto"/>
                <w:bottom w:val="none" w:sz="0" w:space="0" w:color="auto"/>
                <w:right w:val="none" w:sz="0" w:space="0" w:color="auto"/>
              </w:divBdr>
            </w:div>
            <w:div w:id="946541705">
              <w:marLeft w:val="0"/>
              <w:marRight w:val="0"/>
              <w:marTop w:val="0"/>
              <w:marBottom w:val="0"/>
              <w:divBdr>
                <w:top w:val="none" w:sz="0" w:space="0" w:color="auto"/>
                <w:left w:val="none" w:sz="0" w:space="0" w:color="auto"/>
                <w:bottom w:val="none" w:sz="0" w:space="0" w:color="auto"/>
                <w:right w:val="none" w:sz="0" w:space="0" w:color="auto"/>
              </w:divBdr>
            </w:div>
            <w:div w:id="253511831">
              <w:marLeft w:val="0"/>
              <w:marRight w:val="0"/>
              <w:marTop w:val="0"/>
              <w:marBottom w:val="0"/>
              <w:divBdr>
                <w:top w:val="none" w:sz="0" w:space="0" w:color="auto"/>
                <w:left w:val="none" w:sz="0" w:space="0" w:color="auto"/>
                <w:bottom w:val="none" w:sz="0" w:space="0" w:color="auto"/>
                <w:right w:val="none" w:sz="0" w:space="0" w:color="auto"/>
              </w:divBdr>
            </w:div>
            <w:div w:id="1242524689">
              <w:marLeft w:val="0"/>
              <w:marRight w:val="0"/>
              <w:marTop w:val="0"/>
              <w:marBottom w:val="0"/>
              <w:divBdr>
                <w:top w:val="none" w:sz="0" w:space="0" w:color="auto"/>
                <w:left w:val="none" w:sz="0" w:space="0" w:color="auto"/>
                <w:bottom w:val="none" w:sz="0" w:space="0" w:color="auto"/>
                <w:right w:val="none" w:sz="0" w:space="0" w:color="auto"/>
              </w:divBdr>
            </w:div>
            <w:div w:id="175966422">
              <w:marLeft w:val="0"/>
              <w:marRight w:val="0"/>
              <w:marTop w:val="0"/>
              <w:marBottom w:val="0"/>
              <w:divBdr>
                <w:top w:val="none" w:sz="0" w:space="0" w:color="auto"/>
                <w:left w:val="none" w:sz="0" w:space="0" w:color="auto"/>
                <w:bottom w:val="none" w:sz="0" w:space="0" w:color="auto"/>
                <w:right w:val="none" w:sz="0" w:space="0" w:color="auto"/>
              </w:divBdr>
            </w:div>
            <w:div w:id="532964064">
              <w:marLeft w:val="0"/>
              <w:marRight w:val="0"/>
              <w:marTop w:val="0"/>
              <w:marBottom w:val="0"/>
              <w:divBdr>
                <w:top w:val="none" w:sz="0" w:space="0" w:color="auto"/>
                <w:left w:val="none" w:sz="0" w:space="0" w:color="auto"/>
                <w:bottom w:val="none" w:sz="0" w:space="0" w:color="auto"/>
                <w:right w:val="none" w:sz="0" w:space="0" w:color="auto"/>
              </w:divBdr>
            </w:div>
            <w:div w:id="1228490640">
              <w:marLeft w:val="0"/>
              <w:marRight w:val="0"/>
              <w:marTop w:val="0"/>
              <w:marBottom w:val="0"/>
              <w:divBdr>
                <w:top w:val="none" w:sz="0" w:space="0" w:color="auto"/>
                <w:left w:val="none" w:sz="0" w:space="0" w:color="auto"/>
                <w:bottom w:val="none" w:sz="0" w:space="0" w:color="auto"/>
                <w:right w:val="none" w:sz="0" w:space="0" w:color="auto"/>
              </w:divBdr>
            </w:div>
            <w:div w:id="2035303688">
              <w:marLeft w:val="0"/>
              <w:marRight w:val="0"/>
              <w:marTop w:val="0"/>
              <w:marBottom w:val="0"/>
              <w:divBdr>
                <w:top w:val="none" w:sz="0" w:space="0" w:color="auto"/>
                <w:left w:val="none" w:sz="0" w:space="0" w:color="auto"/>
                <w:bottom w:val="none" w:sz="0" w:space="0" w:color="auto"/>
                <w:right w:val="none" w:sz="0" w:space="0" w:color="auto"/>
              </w:divBdr>
            </w:div>
            <w:div w:id="1643149611">
              <w:marLeft w:val="0"/>
              <w:marRight w:val="0"/>
              <w:marTop w:val="0"/>
              <w:marBottom w:val="0"/>
              <w:divBdr>
                <w:top w:val="none" w:sz="0" w:space="0" w:color="auto"/>
                <w:left w:val="none" w:sz="0" w:space="0" w:color="auto"/>
                <w:bottom w:val="none" w:sz="0" w:space="0" w:color="auto"/>
                <w:right w:val="none" w:sz="0" w:space="0" w:color="auto"/>
              </w:divBdr>
            </w:div>
            <w:div w:id="1507482198">
              <w:marLeft w:val="0"/>
              <w:marRight w:val="0"/>
              <w:marTop w:val="0"/>
              <w:marBottom w:val="0"/>
              <w:divBdr>
                <w:top w:val="none" w:sz="0" w:space="0" w:color="auto"/>
                <w:left w:val="none" w:sz="0" w:space="0" w:color="auto"/>
                <w:bottom w:val="none" w:sz="0" w:space="0" w:color="auto"/>
                <w:right w:val="none" w:sz="0" w:space="0" w:color="auto"/>
              </w:divBdr>
            </w:div>
            <w:div w:id="180360112">
              <w:marLeft w:val="0"/>
              <w:marRight w:val="0"/>
              <w:marTop w:val="0"/>
              <w:marBottom w:val="0"/>
              <w:divBdr>
                <w:top w:val="none" w:sz="0" w:space="0" w:color="auto"/>
                <w:left w:val="none" w:sz="0" w:space="0" w:color="auto"/>
                <w:bottom w:val="none" w:sz="0" w:space="0" w:color="auto"/>
                <w:right w:val="none" w:sz="0" w:space="0" w:color="auto"/>
              </w:divBdr>
            </w:div>
            <w:div w:id="1041327337">
              <w:marLeft w:val="0"/>
              <w:marRight w:val="0"/>
              <w:marTop w:val="0"/>
              <w:marBottom w:val="0"/>
              <w:divBdr>
                <w:top w:val="none" w:sz="0" w:space="0" w:color="auto"/>
                <w:left w:val="none" w:sz="0" w:space="0" w:color="auto"/>
                <w:bottom w:val="none" w:sz="0" w:space="0" w:color="auto"/>
                <w:right w:val="none" w:sz="0" w:space="0" w:color="auto"/>
              </w:divBdr>
            </w:div>
            <w:div w:id="1427530801">
              <w:marLeft w:val="0"/>
              <w:marRight w:val="0"/>
              <w:marTop w:val="0"/>
              <w:marBottom w:val="0"/>
              <w:divBdr>
                <w:top w:val="none" w:sz="0" w:space="0" w:color="auto"/>
                <w:left w:val="none" w:sz="0" w:space="0" w:color="auto"/>
                <w:bottom w:val="none" w:sz="0" w:space="0" w:color="auto"/>
                <w:right w:val="none" w:sz="0" w:space="0" w:color="auto"/>
              </w:divBdr>
            </w:div>
            <w:div w:id="1214653672">
              <w:marLeft w:val="0"/>
              <w:marRight w:val="0"/>
              <w:marTop w:val="0"/>
              <w:marBottom w:val="0"/>
              <w:divBdr>
                <w:top w:val="none" w:sz="0" w:space="0" w:color="auto"/>
                <w:left w:val="none" w:sz="0" w:space="0" w:color="auto"/>
                <w:bottom w:val="none" w:sz="0" w:space="0" w:color="auto"/>
                <w:right w:val="none" w:sz="0" w:space="0" w:color="auto"/>
              </w:divBdr>
            </w:div>
            <w:div w:id="197009479">
              <w:marLeft w:val="0"/>
              <w:marRight w:val="0"/>
              <w:marTop w:val="0"/>
              <w:marBottom w:val="0"/>
              <w:divBdr>
                <w:top w:val="none" w:sz="0" w:space="0" w:color="auto"/>
                <w:left w:val="none" w:sz="0" w:space="0" w:color="auto"/>
                <w:bottom w:val="none" w:sz="0" w:space="0" w:color="auto"/>
                <w:right w:val="none" w:sz="0" w:space="0" w:color="auto"/>
              </w:divBdr>
            </w:div>
            <w:div w:id="877207015">
              <w:marLeft w:val="0"/>
              <w:marRight w:val="0"/>
              <w:marTop w:val="0"/>
              <w:marBottom w:val="0"/>
              <w:divBdr>
                <w:top w:val="none" w:sz="0" w:space="0" w:color="auto"/>
                <w:left w:val="none" w:sz="0" w:space="0" w:color="auto"/>
                <w:bottom w:val="none" w:sz="0" w:space="0" w:color="auto"/>
                <w:right w:val="none" w:sz="0" w:space="0" w:color="auto"/>
              </w:divBdr>
            </w:div>
            <w:div w:id="1732343564">
              <w:marLeft w:val="0"/>
              <w:marRight w:val="0"/>
              <w:marTop w:val="0"/>
              <w:marBottom w:val="0"/>
              <w:divBdr>
                <w:top w:val="none" w:sz="0" w:space="0" w:color="auto"/>
                <w:left w:val="none" w:sz="0" w:space="0" w:color="auto"/>
                <w:bottom w:val="none" w:sz="0" w:space="0" w:color="auto"/>
                <w:right w:val="none" w:sz="0" w:space="0" w:color="auto"/>
              </w:divBdr>
            </w:div>
            <w:div w:id="759957439">
              <w:marLeft w:val="0"/>
              <w:marRight w:val="0"/>
              <w:marTop w:val="0"/>
              <w:marBottom w:val="0"/>
              <w:divBdr>
                <w:top w:val="none" w:sz="0" w:space="0" w:color="auto"/>
                <w:left w:val="none" w:sz="0" w:space="0" w:color="auto"/>
                <w:bottom w:val="none" w:sz="0" w:space="0" w:color="auto"/>
                <w:right w:val="none" w:sz="0" w:space="0" w:color="auto"/>
              </w:divBdr>
            </w:div>
            <w:div w:id="1402023744">
              <w:marLeft w:val="0"/>
              <w:marRight w:val="0"/>
              <w:marTop w:val="0"/>
              <w:marBottom w:val="0"/>
              <w:divBdr>
                <w:top w:val="none" w:sz="0" w:space="0" w:color="auto"/>
                <w:left w:val="none" w:sz="0" w:space="0" w:color="auto"/>
                <w:bottom w:val="none" w:sz="0" w:space="0" w:color="auto"/>
                <w:right w:val="none" w:sz="0" w:space="0" w:color="auto"/>
              </w:divBdr>
            </w:div>
            <w:div w:id="348678014">
              <w:marLeft w:val="0"/>
              <w:marRight w:val="0"/>
              <w:marTop w:val="0"/>
              <w:marBottom w:val="0"/>
              <w:divBdr>
                <w:top w:val="none" w:sz="0" w:space="0" w:color="auto"/>
                <w:left w:val="none" w:sz="0" w:space="0" w:color="auto"/>
                <w:bottom w:val="none" w:sz="0" w:space="0" w:color="auto"/>
                <w:right w:val="none" w:sz="0" w:space="0" w:color="auto"/>
              </w:divBdr>
            </w:div>
            <w:div w:id="2120753575">
              <w:marLeft w:val="0"/>
              <w:marRight w:val="0"/>
              <w:marTop w:val="0"/>
              <w:marBottom w:val="0"/>
              <w:divBdr>
                <w:top w:val="none" w:sz="0" w:space="0" w:color="auto"/>
                <w:left w:val="none" w:sz="0" w:space="0" w:color="auto"/>
                <w:bottom w:val="none" w:sz="0" w:space="0" w:color="auto"/>
                <w:right w:val="none" w:sz="0" w:space="0" w:color="auto"/>
              </w:divBdr>
            </w:div>
            <w:div w:id="1885747523">
              <w:marLeft w:val="0"/>
              <w:marRight w:val="0"/>
              <w:marTop w:val="0"/>
              <w:marBottom w:val="0"/>
              <w:divBdr>
                <w:top w:val="none" w:sz="0" w:space="0" w:color="auto"/>
                <w:left w:val="none" w:sz="0" w:space="0" w:color="auto"/>
                <w:bottom w:val="none" w:sz="0" w:space="0" w:color="auto"/>
                <w:right w:val="none" w:sz="0" w:space="0" w:color="auto"/>
              </w:divBdr>
            </w:div>
            <w:div w:id="903953919">
              <w:marLeft w:val="0"/>
              <w:marRight w:val="0"/>
              <w:marTop w:val="0"/>
              <w:marBottom w:val="0"/>
              <w:divBdr>
                <w:top w:val="none" w:sz="0" w:space="0" w:color="auto"/>
                <w:left w:val="none" w:sz="0" w:space="0" w:color="auto"/>
                <w:bottom w:val="none" w:sz="0" w:space="0" w:color="auto"/>
                <w:right w:val="none" w:sz="0" w:space="0" w:color="auto"/>
              </w:divBdr>
            </w:div>
            <w:div w:id="1110314929">
              <w:marLeft w:val="0"/>
              <w:marRight w:val="0"/>
              <w:marTop w:val="0"/>
              <w:marBottom w:val="0"/>
              <w:divBdr>
                <w:top w:val="none" w:sz="0" w:space="0" w:color="auto"/>
                <w:left w:val="none" w:sz="0" w:space="0" w:color="auto"/>
                <w:bottom w:val="none" w:sz="0" w:space="0" w:color="auto"/>
                <w:right w:val="none" w:sz="0" w:space="0" w:color="auto"/>
              </w:divBdr>
            </w:div>
            <w:div w:id="1200313285">
              <w:marLeft w:val="0"/>
              <w:marRight w:val="0"/>
              <w:marTop w:val="0"/>
              <w:marBottom w:val="0"/>
              <w:divBdr>
                <w:top w:val="none" w:sz="0" w:space="0" w:color="auto"/>
                <w:left w:val="none" w:sz="0" w:space="0" w:color="auto"/>
                <w:bottom w:val="none" w:sz="0" w:space="0" w:color="auto"/>
                <w:right w:val="none" w:sz="0" w:space="0" w:color="auto"/>
              </w:divBdr>
            </w:div>
            <w:div w:id="190194068">
              <w:marLeft w:val="0"/>
              <w:marRight w:val="0"/>
              <w:marTop w:val="0"/>
              <w:marBottom w:val="0"/>
              <w:divBdr>
                <w:top w:val="none" w:sz="0" w:space="0" w:color="auto"/>
                <w:left w:val="none" w:sz="0" w:space="0" w:color="auto"/>
                <w:bottom w:val="none" w:sz="0" w:space="0" w:color="auto"/>
                <w:right w:val="none" w:sz="0" w:space="0" w:color="auto"/>
              </w:divBdr>
            </w:div>
            <w:div w:id="1691444558">
              <w:marLeft w:val="0"/>
              <w:marRight w:val="0"/>
              <w:marTop w:val="0"/>
              <w:marBottom w:val="0"/>
              <w:divBdr>
                <w:top w:val="none" w:sz="0" w:space="0" w:color="auto"/>
                <w:left w:val="none" w:sz="0" w:space="0" w:color="auto"/>
                <w:bottom w:val="none" w:sz="0" w:space="0" w:color="auto"/>
                <w:right w:val="none" w:sz="0" w:space="0" w:color="auto"/>
              </w:divBdr>
            </w:div>
            <w:div w:id="683214792">
              <w:marLeft w:val="0"/>
              <w:marRight w:val="0"/>
              <w:marTop w:val="0"/>
              <w:marBottom w:val="0"/>
              <w:divBdr>
                <w:top w:val="none" w:sz="0" w:space="0" w:color="auto"/>
                <w:left w:val="none" w:sz="0" w:space="0" w:color="auto"/>
                <w:bottom w:val="none" w:sz="0" w:space="0" w:color="auto"/>
                <w:right w:val="none" w:sz="0" w:space="0" w:color="auto"/>
              </w:divBdr>
            </w:div>
            <w:div w:id="1380940341">
              <w:marLeft w:val="0"/>
              <w:marRight w:val="0"/>
              <w:marTop w:val="0"/>
              <w:marBottom w:val="0"/>
              <w:divBdr>
                <w:top w:val="none" w:sz="0" w:space="0" w:color="auto"/>
                <w:left w:val="none" w:sz="0" w:space="0" w:color="auto"/>
                <w:bottom w:val="none" w:sz="0" w:space="0" w:color="auto"/>
                <w:right w:val="none" w:sz="0" w:space="0" w:color="auto"/>
              </w:divBdr>
            </w:div>
            <w:div w:id="2080856540">
              <w:marLeft w:val="0"/>
              <w:marRight w:val="0"/>
              <w:marTop w:val="0"/>
              <w:marBottom w:val="0"/>
              <w:divBdr>
                <w:top w:val="none" w:sz="0" w:space="0" w:color="auto"/>
                <w:left w:val="none" w:sz="0" w:space="0" w:color="auto"/>
                <w:bottom w:val="none" w:sz="0" w:space="0" w:color="auto"/>
                <w:right w:val="none" w:sz="0" w:space="0" w:color="auto"/>
              </w:divBdr>
            </w:div>
            <w:div w:id="1037000004">
              <w:marLeft w:val="0"/>
              <w:marRight w:val="0"/>
              <w:marTop w:val="0"/>
              <w:marBottom w:val="0"/>
              <w:divBdr>
                <w:top w:val="none" w:sz="0" w:space="0" w:color="auto"/>
                <w:left w:val="none" w:sz="0" w:space="0" w:color="auto"/>
                <w:bottom w:val="none" w:sz="0" w:space="0" w:color="auto"/>
                <w:right w:val="none" w:sz="0" w:space="0" w:color="auto"/>
              </w:divBdr>
            </w:div>
            <w:div w:id="1326012226">
              <w:marLeft w:val="0"/>
              <w:marRight w:val="0"/>
              <w:marTop w:val="0"/>
              <w:marBottom w:val="0"/>
              <w:divBdr>
                <w:top w:val="none" w:sz="0" w:space="0" w:color="auto"/>
                <w:left w:val="none" w:sz="0" w:space="0" w:color="auto"/>
                <w:bottom w:val="none" w:sz="0" w:space="0" w:color="auto"/>
                <w:right w:val="none" w:sz="0" w:space="0" w:color="auto"/>
              </w:divBdr>
            </w:div>
            <w:div w:id="554053056">
              <w:marLeft w:val="0"/>
              <w:marRight w:val="0"/>
              <w:marTop w:val="0"/>
              <w:marBottom w:val="0"/>
              <w:divBdr>
                <w:top w:val="none" w:sz="0" w:space="0" w:color="auto"/>
                <w:left w:val="none" w:sz="0" w:space="0" w:color="auto"/>
                <w:bottom w:val="none" w:sz="0" w:space="0" w:color="auto"/>
                <w:right w:val="none" w:sz="0" w:space="0" w:color="auto"/>
              </w:divBdr>
            </w:div>
            <w:div w:id="749304783">
              <w:marLeft w:val="0"/>
              <w:marRight w:val="0"/>
              <w:marTop w:val="0"/>
              <w:marBottom w:val="0"/>
              <w:divBdr>
                <w:top w:val="none" w:sz="0" w:space="0" w:color="auto"/>
                <w:left w:val="none" w:sz="0" w:space="0" w:color="auto"/>
                <w:bottom w:val="none" w:sz="0" w:space="0" w:color="auto"/>
                <w:right w:val="none" w:sz="0" w:space="0" w:color="auto"/>
              </w:divBdr>
            </w:div>
            <w:div w:id="1016421173">
              <w:marLeft w:val="0"/>
              <w:marRight w:val="0"/>
              <w:marTop w:val="0"/>
              <w:marBottom w:val="0"/>
              <w:divBdr>
                <w:top w:val="none" w:sz="0" w:space="0" w:color="auto"/>
                <w:left w:val="none" w:sz="0" w:space="0" w:color="auto"/>
                <w:bottom w:val="none" w:sz="0" w:space="0" w:color="auto"/>
                <w:right w:val="none" w:sz="0" w:space="0" w:color="auto"/>
              </w:divBdr>
            </w:div>
            <w:div w:id="1034232264">
              <w:marLeft w:val="0"/>
              <w:marRight w:val="0"/>
              <w:marTop w:val="0"/>
              <w:marBottom w:val="0"/>
              <w:divBdr>
                <w:top w:val="none" w:sz="0" w:space="0" w:color="auto"/>
                <w:left w:val="none" w:sz="0" w:space="0" w:color="auto"/>
                <w:bottom w:val="none" w:sz="0" w:space="0" w:color="auto"/>
                <w:right w:val="none" w:sz="0" w:space="0" w:color="auto"/>
              </w:divBdr>
            </w:div>
            <w:div w:id="1029797467">
              <w:marLeft w:val="0"/>
              <w:marRight w:val="0"/>
              <w:marTop w:val="0"/>
              <w:marBottom w:val="0"/>
              <w:divBdr>
                <w:top w:val="none" w:sz="0" w:space="0" w:color="auto"/>
                <w:left w:val="none" w:sz="0" w:space="0" w:color="auto"/>
                <w:bottom w:val="none" w:sz="0" w:space="0" w:color="auto"/>
                <w:right w:val="none" w:sz="0" w:space="0" w:color="auto"/>
              </w:divBdr>
            </w:div>
            <w:div w:id="1298029874">
              <w:marLeft w:val="0"/>
              <w:marRight w:val="0"/>
              <w:marTop w:val="0"/>
              <w:marBottom w:val="0"/>
              <w:divBdr>
                <w:top w:val="none" w:sz="0" w:space="0" w:color="auto"/>
                <w:left w:val="none" w:sz="0" w:space="0" w:color="auto"/>
                <w:bottom w:val="none" w:sz="0" w:space="0" w:color="auto"/>
                <w:right w:val="none" w:sz="0" w:space="0" w:color="auto"/>
              </w:divBdr>
            </w:div>
            <w:div w:id="842354206">
              <w:marLeft w:val="0"/>
              <w:marRight w:val="0"/>
              <w:marTop w:val="0"/>
              <w:marBottom w:val="0"/>
              <w:divBdr>
                <w:top w:val="none" w:sz="0" w:space="0" w:color="auto"/>
                <w:left w:val="none" w:sz="0" w:space="0" w:color="auto"/>
                <w:bottom w:val="none" w:sz="0" w:space="0" w:color="auto"/>
                <w:right w:val="none" w:sz="0" w:space="0" w:color="auto"/>
              </w:divBdr>
            </w:div>
            <w:div w:id="534075617">
              <w:marLeft w:val="0"/>
              <w:marRight w:val="0"/>
              <w:marTop w:val="0"/>
              <w:marBottom w:val="0"/>
              <w:divBdr>
                <w:top w:val="none" w:sz="0" w:space="0" w:color="auto"/>
                <w:left w:val="none" w:sz="0" w:space="0" w:color="auto"/>
                <w:bottom w:val="none" w:sz="0" w:space="0" w:color="auto"/>
                <w:right w:val="none" w:sz="0" w:space="0" w:color="auto"/>
              </w:divBdr>
            </w:div>
            <w:div w:id="367295658">
              <w:marLeft w:val="0"/>
              <w:marRight w:val="0"/>
              <w:marTop w:val="0"/>
              <w:marBottom w:val="0"/>
              <w:divBdr>
                <w:top w:val="none" w:sz="0" w:space="0" w:color="auto"/>
                <w:left w:val="none" w:sz="0" w:space="0" w:color="auto"/>
                <w:bottom w:val="none" w:sz="0" w:space="0" w:color="auto"/>
                <w:right w:val="none" w:sz="0" w:space="0" w:color="auto"/>
              </w:divBdr>
            </w:div>
            <w:div w:id="2034843460">
              <w:marLeft w:val="0"/>
              <w:marRight w:val="0"/>
              <w:marTop w:val="0"/>
              <w:marBottom w:val="0"/>
              <w:divBdr>
                <w:top w:val="none" w:sz="0" w:space="0" w:color="auto"/>
                <w:left w:val="none" w:sz="0" w:space="0" w:color="auto"/>
                <w:bottom w:val="none" w:sz="0" w:space="0" w:color="auto"/>
                <w:right w:val="none" w:sz="0" w:space="0" w:color="auto"/>
              </w:divBdr>
            </w:div>
            <w:div w:id="200941311">
              <w:marLeft w:val="0"/>
              <w:marRight w:val="0"/>
              <w:marTop w:val="0"/>
              <w:marBottom w:val="0"/>
              <w:divBdr>
                <w:top w:val="none" w:sz="0" w:space="0" w:color="auto"/>
                <w:left w:val="none" w:sz="0" w:space="0" w:color="auto"/>
                <w:bottom w:val="none" w:sz="0" w:space="0" w:color="auto"/>
                <w:right w:val="none" w:sz="0" w:space="0" w:color="auto"/>
              </w:divBdr>
            </w:div>
            <w:div w:id="1468469588">
              <w:marLeft w:val="0"/>
              <w:marRight w:val="0"/>
              <w:marTop w:val="0"/>
              <w:marBottom w:val="0"/>
              <w:divBdr>
                <w:top w:val="none" w:sz="0" w:space="0" w:color="auto"/>
                <w:left w:val="none" w:sz="0" w:space="0" w:color="auto"/>
                <w:bottom w:val="none" w:sz="0" w:space="0" w:color="auto"/>
                <w:right w:val="none" w:sz="0" w:space="0" w:color="auto"/>
              </w:divBdr>
            </w:div>
            <w:div w:id="593317140">
              <w:marLeft w:val="0"/>
              <w:marRight w:val="0"/>
              <w:marTop w:val="0"/>
              <w:marBottom w:val="0"/>
              <w:divBdr>
                <w:top w:val="none" w:sz="0" w:space="0" w:color="auto"/>
                <w:left w:val="none" w:sz="0" w:space="0" w:color="auto"/>
                <w:bottom w:val="none" w:sz="0" w:space="0" w:color="auto"/>
                <w:right w:val="none" w:sz="0" w:space="0" w:color="auto"/>
              </w:divBdr>
            </w:div>
            <w:div w:id="1932543623">
              <w:marLeft w:val="0"/>
              <w:marRight w:val="0"/>
              <w:marTop w:val="0"/>
              <w:marBottom w:val="0"/>
              <w:divBdr>
                <w:top w:val="none" w:sz="0" w:space="0" w:color="auto"/>
                <w:left w:val="none" w:sz="0" w:space="0" w:color="auto"/>
                <w:bottom w:val="none" w:sz="0" w:space="0" w:color="auto"/>
                <w:right w:val="none" w:sz="0" w:space="0" w:color="auto"/>
              </w:divBdr>
            </w:div>
            <w:div w:id="1789620330">
              <w:marLeft w:val="0"/>
              <w:marRight w:val="0"/>
              <w:marTop w:val="0"/>
              <w:marBottom w:val="0"/>
              <w:divBdr>
                <w:top w:val="none" w:sz="0" w:space="0" w:color="auto"/>
                <w:left w:val="none" w:sz="0" w:space="0" w:color="auto"/>
                <w:bottom w:val="none" w:sz="0" w:space="0" w:color="auto"/>
                <w:right w:val="none" w:sz="0" w:space="0" w:color="auto"/>
              </w:divBdr>
            </w:div>
            <w:div w:id="856312007">
              <w:marLeft w:val="0"/>
              <w:marRight w:val="0"/>
              <w:marTop w:val="0"/>
              <w:marBottom w:val="0"/>
              <w:divBdr>
                <w:top w:val="none" w:sz="0" w:space="0" w:color="auto"/>
                <w:left w:val="none" w:sz="0" w:space="0" w:color="auto"/>
                <w:bottom w:val="none" w:sz="0" w:space="0" w:color="auto"/>
                <w:right w:val="none" w:sz="0" w:space="0" w:color="auto"/>
              </w:divBdr>
            </w:div>
            <w:div w:id="917592571">
              <w:marLeft w:val="0"/>
              <w:marRight w:val="0"/>
              <w:marTop w:val="0"/>
              <w:marBottom w:val="0"/>
              <w:divBdr>
                <w:top w:val="none" w:sz="0" w:space="0" w:color="auto"/>
                <w:left w:val="none" w:sz="0" w:space="0" w:color="auto"/>
                <w:bottom w:val="none" w:sz="0" w:space="0" w:color="auto"/>
                <w:right w:val="none" w:sz="0" w:space="0" w:color="auto"/>
              </w:divBdr>
            </w:div>
            <w:div w:id="1382172024">
              <w:marLeft w:val="0"/>
              <w:marRight w:val="0"/>
              <w:marTop w:val="0"/>
              <w:marBottom w:val="0"/>
              <w:divBdr>
                <w:top w:val="none" w:sz="0" w:space="0" w:color="auto"/>
                <w:left w:val="none" w:sz="0" w:space="0" w:color="auto"/>
                <w:bottom w:val="none" w:sz="0" w:space="0" w:color="auto"/>
                <w:right w:val="none" w:sz="0" w:space="0" w:color="auto"/>
              </w:divBdr>
            </w:div>
            <w:div w:id="1262644799">
              <w:marLeft w:val="0"/>
              <w:marRight w:val="0"/>
              <w:marTop w:val="0"/>
              <w:marBottom w:val="0"/>
              <w:divBdr>
                <w:top w:val="none" w:sz="0" w:space="0" w:color="auto"/>
                <w:left w:val="none" w:sz="0" w:space="0" w:color="auto"/>
                <w:bottom w:val="none" w:sz="0" w:space="0" w:color="auto"/>
                <w:right w:val="none" w:sz="0" w:space="0" w:color="auto"/>
              </w:divBdr>
            </w:div>
            <w:div w:id="268591020">
              <w:marLeft w:val="0"/>
              <w:marRight w:val="0"/>
              <w:marTop w:val="0"/>
              <w:marBottom w:val="0"/>
              <w:divBdr>
                <w:top w:val="none" w:sz="0" w:space="0" w:color="auto"/>
                <w:left w:val="none" w:sz="0" w:space="0" w:color="auto"/>
                <w:bottom w:val="none" w:sz="0" w:space="0" w:color="auto"/>
                <w:right w:val="none" w:sz="0" w:space="0" w:color="auto"/>
              </w:divBdr>
            </w:div>
            <w:div w:id="1218055778">
              <w:marLeft w:val="0"/>
              <w:marRight w:val="0"/>
              <w:marTop w:val="0"/>
              <w:marBottom w:val="0"/>
              <w:divBdr>
                <w:top w:val="none" w:sz="0" w:space="0" w:color="auto"/>
                <w:left w:val="none" w:sz="0" w:space="0" w:color="auto"/>
                <w:bottom w:val="none" w:sz="0" w:space="0" w:color="auto"/>
                <w:right w:val="none" w:sz="0" w:space="0" w:color="auto"/>
              </w:divBdr>
            </w:div>
            <w:div w:id="2058044577">
              <w:marLeft w:val="0"/>
              <w:marRight w:val="0"/>
              <w:marTop w:val="0"/>
              <w:marBottom w:val="0"/>
              <w:divBdr>
                <w:top w:val="none" w:sz="0" w:space="0" w:color="auto"/>
                <w:left w:val="none" w:sz="0" w:space="0" w:color="auto"/>
                <w:bottom w:val="none" w:sz="0" w:space="0" w:color="auto"/>
                <w:right w:val="none" w:sz="0" w:space="0" w:color="auto"/>
              </w:divBdr>
            </w:div>
            <w:div w:id="471872040">
              <w:marLeft w:val="0"/>
              <w:marRight w:val="0"/>
              <w:marTop w:val="0"/>
              <w:marBottom w:val="0"/>
              <w:divBdr>
                <w:top w:val="none" w:sz="0" w:space="0" w:color="auto"/>
                <w:left w:val="none" w:sz="0" w:space="0" w:color="auto"/>
                <w:bottom w:val="none" w:sz="0" w:space="0" w:color="auto"/>
                <w:right w:val="none" w:sz="0" w:space="0" w:color="auto"/>
              </w:divBdr>
            </w:div>
            <w:div w:id="1346707583">
              <w:marLeft w:val="0"/>
              <w:marRight w:val="0"/>
              <w:marTop w:val="0"/>
              <w:marBottom w:val="0"/>
              <w:divBdr>
                <w:top w:val="none" w:sz="0" w:space="0" w:color="auto"/>
                <w:left w:val="none" w:sz="0" w:space="0" w:color="auto"/>
                <w:bottom w:val="none" w:sz="0" w:space="0" w:color="auto"/>
                <w:right w:val="none" w:sz="0" w:space="0" w:color="auto"/>
              </w:divBdr>
            </w:div>
            <w:div w:id="884174596">
              <w:marLeft w:val="0"/>
              <w:marRight w:val="0"/>
              <w:marTop w:val="0"/>
              <w:marBottom w:val="0"/>
              <w:divBdr>
                <w:top w:val="none" w:sz="0" w:space="0" w:color="auto"/>
                <w:left w:val="none" w:sz="0" w:space="0" w:color="auto"/>
                <w:bottom w:val="none" w:sz="0" w:space="0" w:color="auto"/>
                <w:right w:val="none" w:sz="0" w:space="0" w:color="auto"/>
              </w:divBdr>
            </w:div>
            <w:div w:id="837690317">
              <w:marLeft w:val="0"/>
              <w:marRight w:val="0"/>
              <w:marTop w:val="0"/>
              <w:marBottom w:val="0"/>
              <w:divBdr>
                <w:top w:val="none" w:sz="0" w:space="0" w:color="auto"/>
                <w:left w:val="none" w:sz="0" w:space="0" w:color="auto"/>
                <w:bottom w:val="none" w:sz="0" w:space="0" w:color="auto"/>
                <w:right w:val="none" w:sz="0" w:space="0" w:color="auto"/>
              </w:divBdr>
            </w:div>
            <w:div w:id="120421822">
              <w:marLeft w:val="0"/>
              <w:marRight w:val="0"/>
              <w:marTop w:val="0"/>
              <w:marBottom w:val="0"/>
              <w:divBdr>
                <w:top w:val="none" w:sz="0" w:space="0" w:color="auto"/>
                <w:left w:val="none" w:sz="0" w:space="0" w:color="auto"/>
                <w:bottom w:val="none" w:sz="0" w:space="0" w:color="auto"/>
                <w:right w:val="none" w:sz="0" w:space="0" w:color="auto"/>
              </w:divBdr>
            </w:div>
            <w:div w:id="1464691632">
              <w:marLeft w:val="0"/>
              <w:marRight w:val="0"/>
              <w:marTop w:val="0"/>
              <w:marBottom w:val="0"/>
              <w:divBdr>
                <w:top w:val="none" w:sz="0" w:space="0" w:color="auto"/>
                <w:left w:val="none" w:sz="0" w:space="0" w:color="auto"/>
                <w:bottom w:val="none" w:sz="0" w:space="0" w:color="auto"/>
                <w:right w:val="none" w:sz="0" w:space="0" w:color="auto"/>
              </w:divBdr>
            </w:div>
            <w:div w:id="1893077244">
              <w:marLeft w:val="0"/>
              <w:marRight w:val="0"/>
              <w:marTop w:val="0"/>
              <w:marBottom w:val="0"/>
              <w:divBdr>
                <w:top w:val="none" w:sz="0" w:space="0" w:color="auto"/>
                <w:left w:val="none" w:sz="0" w:space="0" w:color="auto"/>
                <w:bottom w:val="none" w:sz="0" w:space="0" w:color="auto"/>
                <w:right w:val="none" w:sz="0" w:space="0" w:color="auto"/>
              </w:divBdr>
            </w:div>
            <w:div w:id="800417707">
              <w:marLeft w:val="0"/>
              <w:marRight w:val="0"/>
              <w:marTop w:val="0"/>
              <w:marBottom w:val="0"/>
              <w:divBdr>
                <w:top w:val="none" w:sz="0" w:space="0" w:color="auto"/>
                <w:left w:val="none" w:sz="0" w:space="0" w:color="auto"/>
                <w:bottom w:val="none" w:sz="0" w:space="0" w:color="auto"/>
                <w:right w:val="none" w:sz="0" w:space="0" w:color="auto"/>
              </w:divBdr>
            </w:div>
            <w:div w:id="469833203">
              <w:marLeft w:val="0"/>
              <w:marRight w:val="0"/>
              <w:marTop w:val="0"/>
              <w:marBottom w:val="0"/>
              <w:divBdr>
                <w:top w:val="none" w:sz="0" w:space="0" w:color="auto"/>
                <w:left w:val="none" w:sz="0" w:space="0" w:color="auto"/>
                <w:bottom w:val="none" w:sz="0" w:space="0" w:color="auto"/>
                <w:right w:val="none" w:sz="0" w:space="0" w:color="auto"/>
              </w:divBdr>
            </w:div>
            <w:div w:id="858278896">
              <w:marLeft w:val="0"/>
              <w:marRight w:val="0"/>
              <w:marTop w:val="0"/>
              <w:marBottom w:val="0"/>
              <w:divBdr>
                <w:top w:val="none" w:sz="0" w:space="0" w:color="auto"/>
                <w:left w:val="none" w:sz="0" w:space="0" w:color="auto"/>
                <w:bottom w:val="none" w:sz="0" w:space="0" w:color="auto"/>
                <w:right w:val="none" w:sz="0" w:space="0" w:color="auto"/>
              </w:divBdr>
            </w:div>
            <w:div w:id="1995915662">
              <w:marLeft w:val="0"/>
              <w:marRight w:val="0"/>
              <w:marTop w:val="0"/>
              <w:marBottom w:val="0"/>
              <w:divBdr>
                <w:top w:val="none" w:sz="0" w:space="0" w:color="auto"/>
                <w:left w:val="none" w:sz="0" w:space="0" w:color="auto"/>
                <w:bottom w:val="none" w:sz="0" w:space="0" w:color="auto"/>
                <w:right w:val="none" w:sz="0" w:space="0" w:color="auto"/>
              </w:divBdr>
            </w:div>
            <w:div w:id="737242577">
              <w:marLeft w:val="0"/>
              <w:marRight w:val="0"/>
              <w:marTop w:val="0"/>
              <w:marBottom w:val="0"/>
              <w:divBdr>
                <w:top w:val="none" w:sz="0" w:space="0" w:color="auto"/>
                <w:left w:val="none" w:sz="0" w:space="0" w:color="auto"/>
                <w:bottom w:val="none" w:sz="0" w:space="0" w:color="auto"/>
                <w:right w:val="none" w:sz="0" w:space="0" w:color="auto"/>
              </w:divBdr>
            </w:div>
            <w:div w:id="83306699">
              <w:marLeft w:val="0"/>
              <w:marRight w:val="0"/>
              <w:marTop w:val="0"/>
              <w:marBottom w:val="0"/>
              <w:divBdr>
                <w:top w:val="none" w:sz="0" w:space="0" w:color="auto"/>
                <w:left w:val="none" w:sz="0" w:space="0" w:color="auto"/>
                <w:bottom w:val="none" w:sz="0" w:space="0" w:color="auto"/>
                <w:right w:val="none" w:sz="0" w:space="0" w:color="auto"/>
              </w:divBdr>
            </w:div>
            <w:div w:id="2066485261">
              <w:marLeft w:val="0"/>
              <w:marRight w:val="0"/>
              <w:marTop w:val="0"/>
              <w:marBottom w:val="0"/>
              <w:divBdr>
                <w:top w:val="none" w:sz="0" w:space="0" w:color="auto"/>
                <w:left w:val="none" w:sz="0" w:space="0" w:color="auto"/>
                <w:bottom w:val="none" w:sz="0" w:space="0" w:color="auto"/>
                <w:right w:val="none" w:sz="0" w:space="0" w:color="auto"/>
              </w:divBdr>
            </w:div>
            <w:div w:id="132719941">
              <w:marLeft w:val="0"/>
              <w:marRight w:val="0"/>
              <w:marTop w:val="0"/>
              <w:marBottom w:val="0"/>
              <w:divBdr>
                <w:top w:val="none" w:sz="0" w:space="0" w:color="auto"/>
                <w:left w:val="none" w:sz="0" w:space="0" w:color="auto"/>
                <w:bottom w:val="none" w:sz="0" w:space="0" w:color="auto"/>
                <w:right w:val="none" w:sz="0" w:space="0" w:color="auto"/>
              </w:divBdr>
            </w:div>
            <w:div w:id="1210218903">
              <w:marLeft w:val="0"/>
              <w:marRight w:val="0"/>
              <w:marTop w:val="0"/>
              <w:marBottom w:val="0"/>
              <w:divBdr>
                <w:top w:val="none" w:sz="0" w:space="0" w:color="auto"/>
                <w:left w:val="none" w:sz="0" w:space="0" w:color="auto"/>
                <w:bottom w:val="none" w:sz="0" w:space="0" w:color="auto"/>
                <w:right w:val="none" w:sz="0" w:space="0" w:color="auto"/>
              </w:divBdr>
            </w:div>
            <w:div w:id="610481723">
              <w:marLeft w:val="0"/>
              <w:marRight w:val="0"/>
              <w:marTop w:val="0"/>
              <w:marBottom w:val="0"/>
              <w:divBdr>
                <w:top w:val="none" w:sz="0" w:space="0" w:color="auto"/>
                <w:left w:val="none" w:sz="0" w:space="0" w:color="auto"/>
                <w:bottom w:val="none" w:sz="0" w:space="0" w:color="auto"/>
                <w:right w:val="none" w:sz="0" w:space="0" w:color="auto"/>
              </w:divBdr>
            </w:div>
            <w:div w:id="1412653360">
              <w:marLeft w:val="0"/>
              <w:marRight w:val="0"/>
              <w:marTop w:val="0"/>
              <w:marBottom w:val="0"/>
              <w:divBdr>
                <w:top w:val="none" w:sz="0" w:space="0" w:color="auto"/>
                <w:left w:val="none" w:sz="0" w:space="0" w:color="auto"/>
                <w:bottom w:val="none" w:sz="0" w:space="0" w:color="auto"/>
                <w:right w:val="none" w:sz="0" w:space="0" w:color="auto"/>
              </w:divBdr>
            </w:div>
            <w:div w:id="1636257175">
              <w:marLeft w:val="0"/>
              <w:marRight w:val="0"/>
              <w:marTop w:val="0"/>
              <w:marBottom w:val="0"/>
              <w:divBdr>
                <w:top w:val="none" w:sz="0" w:space="0" w:color="auto"/>
                <w:left w:val="none" w:sz="0" w:space="0" w:color="auto"/>
                <w:bottom w:val="none" w:sz="0" w:space="0" w:color="auto"/>
                <w:right w:val="none" w:sz="0" w:space="0" w:color="auto"/>
              </w:divBdr>
            </w:div>
            <w:div w:id="1046682992">
              <w:marLeft w:val="0"/>
              <w:marRight w:val="0"/>
              <w:marTop w:val="0"/>
              <w:marBottom w:val="0"/>
              <w:divBdr>
                <w:top w:val="none" w:sz="0" w:space="0" w:color="auto"/>
                <w:left w:val="none" w:sz="0" w:space="0" w:color="auto"/>
                <w:bottom w:val="none" w:sz="0" w:space="0" w:color="auto"/>
                <w:right w:val="none" w:sz="0" w:space="0" w:color="auto"/>
              </w:divBdr>
            </w:div>
            <w:div w:id="2101559054">
              <w:marLeft w:val="0"/>
              <w:marRight w:val="0"/>
              <w:marTop w:val="0"/>
              <w:marBottom w:val="0"/>
              <w:divBdr>
                <w:top w:val="none" w:sz="0" w:space="0" w:color="auto"/>
                <w:left w:val="none" w:sz="0" w:space="0" w:color="auto"/>
                <w:bottom w:val="none" w:sz="0" w:space="0" w:color="auto"/>
                <w:right w:val="none" w:sz="0" w:space="0" w:color="auto"/>
              </w:divBdr>
            </w:div>
            <w:div w:id="1894384838">
              <w:marLeft w:val="0"/>
              <w:marRight w:val="0"/>
              <w:marTop w:val="0"/>
              <w:marBottom w:val="0"/>
              <w:divBdr>
                <w:top w:val="none" w:sz="0" w:space="0" w:color="auto"/>
                <w:left w:val="none" w:sz="0" w:space="0" w:color="auto"/>
                <w:bottom w:val="none" w:sz="0" w:space="0" w:color="auto"/>
                <w:right w:val="none" w:sz="0" w:space="0" w:color="auto"/>
              </w:divBdr>
            </w:div>
            <w:div w:id="987978694">
              <w:marLeft w:val="0"/>
              <w:marRight w:val="0"/>
              <w:marTop w:val="0"/>
              <w:marBottom w:val="0"/>
              <w:divBdr>
                <w:top w:val="none" w:sz="0" w:space="0" w:color="auto"/>
                <w:left w:val="none" w:sz="0" w:space="0" w:color="auto"/>
                <w:bottom w:val="none" w:sz="0" w:space="0" w:color="auto"/>
                <w:right w:val="none" w:sz="0" w:space="0" w:color="auto"/>
              </w:divBdr>
            </w:div>
            <w:div w:id="1224213671">
              <w:marLeft w:val="0"/>
              <w:marRight w:val="0"/>
              <w:marTop w:val="0"/>
              <w:marBottom w:val="0"/>
              <w:divBdr>
                <w:top w:val="none" w:sz="0" w:space="0" w:color="auto"/>
                <w:left w:val="none" w:sz="0" w:space="0" w:color="auto"/>
                <w:bottom w:val="none" w:sz="0" w:space="0" w:color="auto"/>
                <w:right w:val="none" w:sz="0" w:space="0" w:color="auto"/>
              </w:divBdr>
            </w:div>
            <w:div w:id="967927776">
              <w:marLeft w:val="0"/>
              <w:marRight w:val="0"/>
              <w:marTop w:val="0"/>
              <w:marBottom w:val="0"/>
              <w:divBdr>
                <w:top w:val="none" w:sz="0" w:space="0" w:color="auto"/>
                <w:left w:val="none" w:sz="0" w:space="0" w:color="auto"/>
                <w:bottom w:val="none" w:sz="0" w:space="0" w:color="auto"/>
                <w:right w:val="none" w:sz="0" w:space="0" w:color="auto"/>
              </w:divBdr>
            </w:div>
            <w:div w:id="361711353">
              <w:marLeft w:val="0"/>
              <w:marRight w:val="0"/>
              <w:marTop w:val="0"/>
              <w:marBottom w:val="0"/>
              <w:divBdr>
                <w:top w:val="none" w:sz="0" w:space="0" w:color="auto"/>
                <w:left w:val="none" w:sz="0" w:space="0" w:color="auto"/>
                <w:bottom w:val="none" w:sz="0" w:space="0" w:color="auto"/>
                <w:right w:val="none" w:sz="0" w:space="0" w:color="auto"/>
              </w:divBdr>
            </w:div>
            <w:div w:id="2001930130">
              <w:marLeft w:val="0"/>
              <w:marRight w:val="0"/>
              <w:marTop w:val="0"/>
              <w:marBottom w:val="0"/>
              <w:divBdr>
                <w:top w:val="none" w:sz="0" w:space="0" w:color="auto"/>
                <w:left w:val="none" w:sz="0" w:space="0" w:color="auto"/>
                <w:bottom w:val="none" w:sz="0" w:space="0" w:color="auto"/>
                <w:right w:val="none" w:sz="0" w:space="0" w:color="auto"/>
              </w:divBdr>
            </w:div>
            <w:div w:id="1698777132">
              <w:marLeft w:val="0"/>
              <w:marRight w:val="0"/>
              <w:marTop w:val="0"/>
              <w:marBottom w:val="0"/>
              <w:divBdr>
                <w:top w:val="none" w:sz="0" w:space="0" w:color="auto"/>
                <w:left w:val="none" w:sz="0" w:space="0" w:color="auto"/>
                <w:bottom w:val="none" w:sz="0" w:space="0" w:color="auto"/>
                <w:right w:val="none" w:sz="0" w:space="0" w:color="auto"/>
              </w:divBdr>
            </w:div>
            <w:div w:id="1908832577">
              <w:marLeft w:val="0"/>
              <w:marRight w:val="0"/>
              <w:marTop w:val="0"/>
              <w:marBottom w:val="0"/>
              <w:divBdr>
                <w:top w:val="none" w:sz="0" w:space="0" w:color="auto"/>
                <w:left w:val="none" w:sz="0" w:space="0" w:color="auto"/>
                <w:bottom w:val="none" w:sz="0" w:space="0" w:color="auto"/>
                <w:right w:val="none" w:sz="0" w:space="0" w:color="auto"/>
              </w:divBdr>
            </w:div>
            <w:div w:id="922178183">
              <w:marLeft w:val="0"/>
              <w:marRight w:val="0"/>
              <w:marTop w:val="0"/>
              <w:marBottom w:val="0"/>
              <w:divBdr>
                <w:top w:val="none" w:sz="0" w:space="0" w:color="auto"/>
                <w:left w:val="none" w:sz="0" w:space="0" w:color="auto"/>
                <w:bottom w:val="none" w:sz="0" w:space="0" w:color="auto"/>
                <w:right w:val="none" w:sz="0" w:space="0" w:color="auto"/>
              </w:divBdr>
            </w:div>
            <w:div w:id="1104961705">
              <w:marLeft w:val="0"/>
              <w:marRight w:val="0"/>
              <w:marTop w:val="0"/>
              <w:marBottom w:val="0"/>
              <w:divBdr>
                <w:top w:val="none" w:sz="0" w:space="0" w:color="auto"/>
                <w:left w:val="none" w:sz="0" w:space="0" w:color="auto"/>
                <w:bottom w:val="none" w:sz="0" w:space="0" w:color="auto"/>
                <w:right w:val="none" w:sz="0" w:space="0" w:color="auto"/>
              </w:divBdr>
            </w:div>
            <w:div w:id="824706396">
              <w:marLeft w:val="0"/>
              <w:marRight w:val="0"/>
              <w:marTop w:val="0"/>
              <w:marBottom w:val="0"/>
              <w:divBdr>
                <w:top w:val="none" w:sz="0" w:space="0" w:color="auto"/>
                <w:left w:val="none" w:sz="0" w:space="0" w:color="auto"/>
                <w:bottom w:val="none" w:sz="0" w:space="0" w:color="auto"/>
                <w:right w:val="none" w:sz="0" w:space="0" w:color="auto"/>
              </w:divBdr>
            </w:div>
            <w:div w:id="97483122">
              <w:marLeft w:val="0"/>
              <w:marRight w:val="0"/>
              <w:marTop w:val="0"/>
              <w:marBottom w:val="0"/>
              <w:divBdr>
                <w:top w:val="none" w:sz="0" w:space="0" w:color="auto"/>
                <w:left w:val="none" w:sz="0" w:space="0" w:color="auto"/>
                <w:bottom w:val="none" w:sz="0" w:space="0" w:color="auto"/>
                <w:right w:val="none" w:sz="0" w:space="0" w:color="auto"/>
              </w:divBdr>
            </w:div>
            <w:div w:id="1375152909">
              <w:marLeft w:val="0"/>
              <w:marRight w:val="0"/>
              <w:marTop w:val="0"/>
              <w:marBottom w:val="0"/>
              <w:divBdr>
                <w:top w:val="none" w:sz="0" w:space="0" w:color="auto"/>
                <w:left w:val="none" w:sz="0" w:space="0" w:color="auto"/>
                <w:bottom w:val="none" w:sz="0" w:space="0" w:color="auto"/>
                <w:right w:val="none" w:sz="0" w:space="0" w:color="auto"/>
              </w:divBdr>
            </w:div>
            <w:div w:id="1031295860">
              <w:marLeft w:val="0"/>
              <w:marRight w:val="0"/>
              <w:marTop w:val="0"/>
              <w:marBottom w:val="0"/>
              <w:divBdr>
                <w:top w:val="none" w:sz="0" w:space="0" w:color="auto"/>
                <w:left w:val="none" w:sz="0" w:space="0" w:color="auto"/>
                <w:bottom w:val="none" w:sz="0" w:space="0" w:color="auto"/>
                <w:right w:val="none" w:sz="0" w:space="0" w:color="auto"/>
              </w:divBdr>
            </w:div>
            <w:div w:id="2089182050">
              <w:marLeft w:val="0"/>
              <w:marRight w:val="0"/>
              <w:marTop w:val="0"/>
              <w:marBottom w:val="0"/>
              <w:divBdr>
                <w:top w:val="none" w:sz="0" w:space="0" w:color="auto"/>
                <w:left w:val="none" w:sz="0" w:space="0" w:color="auto"/>
                <w:bottom w:val="none" w:sz="0" w:space="0" w:color="auto"/>
                <w:right w:val="none" w:sz="0" w:space="0" w:color="auto"/>
              </w:divBdr>
            </w:div>
            <w:div w:id="293952970">
              <w:marLeft w:val="0"/>
              <w:marRight w:val="0"/>
              <w:marTop w:val="0"/>
              <w:marBottom w:val="0"/>
              <w:divBdr>
                <w:top w:val="none" w:sz="0" w:space="0" w:color="auto"/>
                <w:left w:val="none" w:sz="0" w:space="0" w:color="auto"/>
                <w:bottom w:val="none" w:sz="0" w:space="0" w:color="auto"/>
                <w:right w:val="none" w:sz="0" w:space="0" w:color="auto"/>
              </w:divBdr>
            </w:div>
            <w:div w:id="697389116">
              <w:marLeft w:val="0"/>
              <w:marRight w:val="0"/>
              <w:marTop w:val="0"/>
              <w:marBottom w:val="0"/>
              <w:divBdr>
                <w:top w:val="none" w:sz="0" w:space="0" w:color="auto"/>
                <w:left w:val="none" w:sz="0" w:space="0" w:color="auto"/>
                <w:bottom w:val="none" w:sz="0" w:space="0" w:color="auto"/>
                <w:right w:val="none" w:sz="0" w:space="0" w:color="auto"/>
              </w:divBdr>
            </w:div>
            <w:div w:id="1316447089">
              <w:marLeft w:val="0"/>
              <w:marRight w:val="0"/>
              <w:marTop w:val="0"/>
              <w:marBottom w:val="0"/>
              <w:divBdr>
                <w:top w:val="none" w:sz="0" w:space="0" w:color="auto"/>
                <w:left w:val="none" w:sz="0" w:space="0" w:color="auto"/>
                <w:bottom w:val="none" w:sz="0" w:space="0" w:color="auto"/>
                <w:right w:val="none" w:sz="0" w:space="0" w:color="auto"/>
              </w:divBdr>
            </w:div>
            <w:div w:id="633684743">
              <w:marLeft w:val="0"/>
              <w:marRight w:val="0"/>
              <w:marTop w:val="0"/>
              <w:marBottom w:val="0"/>
              <w:divBdr>
                <w:top w:val="none" w:sz="0" w:space="0" w:color="auto"/>
                <w:left w:val="none" w:sz="0" w:space="0" w:color="auto"/>
                <w:bottom w:val="none" w:sz="0" w:space="0" w:color="auto"/>
                <w:right w:val="none" w:sz="0" w:space="0" w:color="auto"/>
              </w:divBdr>
            </w:div>
            <w:div w:id="1905098613">
              <w:marLeft w:val="0"/>
              <w:marRight w:val="0"/>
              <w:marTop w:val="0"/>
              <w:marBottom w:val="0"/>
              <w:divBdr>
                <w:top w:val="none" w:sz="0" w:space="0" w:color="auto"/>
                <w:left w:val="none" w:sz="0" w:space="0" w:color="auto"/>
                <w:bottom w:val="none" w:sz="0" w:space="0" w:color="auto"/>
                <w:right w:val="none" w:sz="0" w:space="0" w:color="auto"/>
              </w:divBdr>
            </w:div>
            <w:div w:id="1729835348">
              <w:marLeft w:val="0"/>
              <w:marRight w:val="0"/>
              <w:marTop w:val="0"/>
              <w:marBottom w:val="0"/>
              <w:divBdr>
                <w:top w:val="none" w:sz="0" w:space="0" w:color="auto"/>
                <w:left w:val="none" w:sz="0" w:space="0" w:color="auto"/>
                <w:bottom w:val="none" w:sz="0" w:space="0" w:color="auto"/>
                <w:right w:val="none" w:sz="0" w:space="0" w:color="auto"/>
              </w:divBdr>
            </w:div>
            <w:div w:id="1746025586">
              <w:marLeft w:val="0"/>
              <w:marRight w:val="0"/>
              <w:marTop w:val="0"/>
              <w:marBottom w:val="0"/>
              <w:divBdr>
                <w:top w:val="none" w:sz="0" w:space="0" w:color="auto"/>
                <w:left w:val="none" w:sz="0" w:space="0" w:color="auto"/>
                <w:bottom w:val="none" w:sz="0" w:space="0" w:color="auto"/>
                <w:right w:val="none" w:sz="0" w:space="0" w:color="auto"/>
              </w:divBdr>
            </w:div>
            <w:div w:id="1269973499">
              <w:marLeft w:val="0"/>
              <w:marRight w:val="0"/>
              <w:marTop w:val="0"/>
              <w:marBottom w:val="0"/>
              <w:divBdr>
                <w:top w:val="none" w:sz="0" w:space="0" w:color="auto"/>
                <w:left w:val="none" w:sz="0" w:space="0" w:color="auto"/>
                <w:bottom w:val="none" w:sz="0" w:space="0" w:color="auto"/>
                <w:right w:val="none" w:sz="0" w:space="0" w:color="auto"/>
              </w:divBdr>
            </w:div>
            <w:div w:id="1481923015">
              <w:marLeft w:val="0"/>
              <w:marRight w:val="0"/>
              <w:marTop w:val="0"/>
              <w:marBottom w:val="0"/>
              <w:divBdr>
                <w:top w:val="none" w:sz="0" w:space="0" w:color="auto"/>
                <w:left w:val="none" w:sz="0" w:space="0" w:color="auto"/>
                <w:bottom w:val="none" w:sz="0" w:space="0" w:color="auto"/>
                <w:right w:val="none" w:sz="0" w:space="0" w:color="auto"/>
              </w:divBdr>
            </w:div>
            <w:div w:id="392847996">
              <w:marLeft w:val="0"/>
              <w:marRight w:val="0"/>
              <w:marTop w:val="0"/>
              <w:marBottom w:val="0"/>
              <w:divBdr>
                <w:top w:val="none" w:sz="0" w:space="0" w:color="auto"/>
                <w:left w:val="none" w:sz="0" w:space="0" w:color="auto"/>
                <w:bottom w:val="none" w:sz="0" w:space="0" w:color="auto"/>
                <w:right w:val="none" w:sz="0" w:space="0" w:color="auto"/>
              </w:divBdr>
            </w:div>
            <w:div w:id="1041901065">
              <w:marLeft w:val="0"/>
              <w:marRight w:val="0"/>
              <w:marTop w:val="0"/>
              <w:marBottom w:val="0"/>
              <w:divBdr>
                <w:top w:val="none" w:sz="0" w:space="0" w:color="auto"/>
                <w:left w:val="none" w:sz="0" w:space="0" w:color="auto"/>
                <w:bottom w:val="none" w:sz="0" w:space="0" w:color="auto"/>
                <w:right w:val="none" w:sz="0" w:space="0" w:color="auto"/>
              </w:divBdr>
            </w:div>
            <w:div w:id="1553544006">
              <w:marLeft w:val="0"/>
              <w:marRight w:val="0"/>
              <w:marTop w:val="0"/>
              <w:marBottom w:val="0"/>
              <w:divBdr>
                <w:top w:val="none" w:sz="0" w:space="0" w:color="auto"/>
                <w:left w:val="none" w:sz="0" w:space="0" w:color="auto"/>
                <w:bottom w:val="none" w:sz="0" w:space="0" w:color="auto"/>
                <w:right w:val="none" w:sz="0" w:space="0" w:color="auto"/>
              </w:divBdr>
            </w:div>
            <w:div w:id="850265876">
              <w:marLeft w:val="0"/>
              <w:marRight w:val="0"/>
              <w:marTop w:val="0"/>
              <w:marBottom w:val="0"/>
              <w:divBdr>
                <w:top w:val="none" w:sz="0" w:space="0" w:color="auto"/>
                <w:left w:val="none" w:sz="0" w:space="0" w:color="auto"/>
                <w:bottom w:val="none" w:sz="0" w:space="0" w:color="auto"/>
                <w:right w:val="none" w:sz="0" w:space="0" w:color="auto"/>
              </w:divBdr>
            </w:div>
            <w:div w:id="1182628215">
              <w:marLeft w:val="0"/>
              <w:marRight w:val="0"/>
              <w:marTop w:val="0"/>
              <w:marBottom w:val="0"/>
              <w:divBdr>
                <w:top w:val="none" w:sz="0" w:space="0" w:color="auto"/>
                <w:left w:val="none" w:sz="0" w:space="0" w:color="auto"/>
                <w:bottom w:val="none" w:sz="0" w:space="0" w:color="auto"/>
                <w:right w:val="none" w:sz="0" w:space="0" w:color="auto"/>
              </w:divBdr>
            </w:div>
            <w:div w:id="1064448293">
              <w:marLeft w:val="0"/>
              <w:marRight w:val="0"/>
              <w:marTop w:val="0"/>
              <w:marBottom w:val="0"/>
              <w:divBdr>
                <w:top w:val="none" w:sz="0" w:space="0" w:color="auto"/>
                <w:left w:val="none" w:sz="0" w:space="0" w:color="auto"/>
                <w:bottom w:val="none" w:sz="0" w:space="0" w:color="auto"/>
                <w:right w:val="none" w:sz="0" w:space="0" w:color="auto"/>
              </w:divBdr>
            </w:div>
            <w:div w:id="344289184">
              <w:marLeft w:val="0"/>
              <w:marRight w:val="0"/>
              <w:marTop w:val="0"/>
              <w:marBottom w:val="0"/>
              <w:divBdr>
                <w:top w:val="none" w:sz="0" w:space="0" w:color="auto"/>
                <w:left w:val="none" w:sz="0" w:space="0" w:color="auto"/>
                <w:bottom w:val="none" w:sz="0" w:space="0" w:color="auto"/>
                <w:right w:val="none" w:sz="0" w:space="0" w:color="auto"/>
              </w:divBdr>
            </w:div>
            <w:div w:id="1641425095">
              <w:marLeft w:val="0"/>
              <w:marRight w:val="0"/>
              <w:marTop w:val="0"/>
              <w:marBottom w:val="0"/>
              <w:divBdr>
                <w:top w:val="none" w:sz="0" w:space="0" w:color="auto"/>
                <w:left w:val="none" w:sz="0" w:space="0" w:color="auto"/>
                <w:bottom w:val="none" w:sz="0" w:space="0" w:color="auto"/>
                <w:right w:val="none" w:sz="0" w:space="0" w:color="auto"/>
              </w:divBdr>
            </w:div>
            <w:div w:id="242182663">
              <w:marLeft w:val="0"/>
              <w:marRight w:val="0"/>
              <w:marTop w:val="0"/>
              <w:marBottom w:val="0"/>
              <w:divBdr>
                <w:top w:val="none" w:sz="0" w:space="0" w:color="auto"/>
                <w:left w:val="none" w:sz="0" w:space="0" w:color="auto"/>
                <w:bottom w:val="none" w:sz="0" w:space="0" w:color="auto"/>
                <w:right w:val="none" w:sz="0" w:space="0" w:color="auto"/>
              </w:divBdr>
            </w:div>
            <w:div w:id="627780233">
              <w:marLeft w:val="0"/>
              <w:marRight w:val="0"/>
              <w:marTop w:val="0"/>
              <w:marBottom w:val="0"/>
              <w:divBdr>
                <w:top w:val="none" w:sz="0" w:space="0" w:color="auto"/>
                <w:left w:val="none" w:sz="0" w:space="0" w:color="auto"/>
                <w:bottom w:val="none" w:sz="0" w:space="0" w:color="auto"/>
                <w:right w:val="none" w:sz="0" w:space="0" w:color="auto"/>
              </w:divBdr>
            </w:div>
            <w:div w:id="1911382101">
              <w:marLeft w:val="0"/>
              <w:marRight w:val="0"/>
              <w:marTop w:val="0"/>
              <w:marBottom w:val="0"/>
              <w:divBdr>
                <w:top w:val="none" w:sz="0" w:space="0" w:color="auto"/>
                <w:left w:val="none" w:sz="0" w:space="0" w:color="auto"/>
                <w:bottom w:val="none" w:sz="0" w:space="0" w:color="auto"/>
                <w:right w:val="none" w:sz="0" w:space="0" w:color="auto"/>
              </w:divBdr>
            </w:div>
            <w:div w:id="940797070">
              <w:marLeft w:val="0"/>
              <w:marRight w:val="0"/>
              <w:marTop w:val="0"/>
              <w:marBottom w:val="0"/>
              <w:divBdr>
                <w:top w:val="none" w:sz="0" w:space="0" w:color="auto"/>
                <w:left w:val="none" w:sz="0" w:space="0" w:color="auto"/>
                <w:bottom w:val="none" w:sz="0" w:space="0" w:color="auto"/>
                <w:right w:val="none" w:sz="0" w:space="0" w:color="auto"/>
              </w:divBdr>
            </w:div>
            <w:div w:id="1244611413">
              <w:marLeft w:val="0"/>
              <w:marRight w:val="0"/>
              <w:marTop w:val="0"/>
              <w:marBottom w:val="0"/>
              <w:divBdr>
                <w:top w:val="none" w:sz="0" w:space="0" w:color="auto"/>
                <w:left w:val="none" w:sz="0" w:space="0" w:color="auto"/>
                <w:bottom w:val="none" w:sz="0" w:space="0" w:color="auto"/>
                <w:right w:val="none" w:sz="0" w:space="0" w:color="auto"/>
              </w:divBdr>
            </w:div>
            <w:div w:id="1938908258">
              <w:marLeft w:val="0"/>
              <w:marRight w:val="0"/>
              <w:marTop w:val="0"/>
              <w:marBottom w:val="0"/>
              <w:divBdr>
                <w:top w:val="none" w:sz="0" w:space="0" w:color="auto"/>
                <w:left w:val="none" w:sz="0" w:space="0" w:color="auto"/>
                <w:bottom w:val="none" w:sz="0" w:space="0" w:color="auto"/>
                <w:right w:val="none" w:sz="0" w:space="0" w:color="auto"/>
              </w:divBdr>
            </w:div>
            <w:div w:id="261454012">
              <w:marLeft w:val="0"/>
              <w:marRight w:val="0"/>
              <w:marTop w:val="0"/>
              <w:marBottom w:val="0"/>
              <w:divBdr>
                <w:top w:val="none" w:sz="0" w:space="0" w:color="auto"/>
                <w:left w:val="none" w:sz="0" w:space="0" w:color="auto"/>
                <w:bottom w:val="none" w:sz="0" w:space="0" w:color="auto"/>
                <w:right w:val="none" w:sz="0" w:space="0" w:color="auto"/>
              </w:divBdr>
            </w:div>
            <w:div w:id="1297686289">
              <w:marLeft w:val="0"/>
              <w:marRight w:val="0"/>
              <w:marTop w:val="0"/>
              <w:marBottom w:val="0"/>
              <w:divBdr>
                <w:top w:val="none" w:sz="0" w:space="0" w:color="auto"/>
                <w:left w:val="none" w:sz="0" w:space="0" w:color="auto"/>
                <w:bottom w:val="none" w:sz="0" w:space="0" w:color="auto"/>
                <w:right w:val="none" w:sz="0" w:space="0" w:color="auto"/>
              </w:divBdr>
            </w:div>
            <w:div w:id="1527063449">
              <w:marLeft w:val="0"/>
              <w:marRight w:val="0"/>
              <w:marTop w:val="0"/>
              <w:marBottom w:val="0"/>
              <w:divBdr>
                <w:top w:val="none" w:sz="0" w:space="0" w:color="auto"/>
                <w:left w:val="none" w:sz="0" w:space="0" w:color="auto"/>
                <w:bottom w:val="none" w:sz="0" w:space="0" w:color="auto"/>
                <w:right w:val="none" w:sz="0" w:space="0" w:color="auto"/>
              </w:divBdr>
            </w:div>
            <w:div w:id="1939096495">
              <w:marLeft w:val="0"/>
              <w:marRight w:val="0"/>
              <w:marTop w:val="0"/>
              <w:marBottom w:val="0"/>
              <w:divBdr>
                <w:top w:val="none" w:sz="0" w:space="0" w:color="auto"/>
                <w:left w:val="none" w:sz="0" w:space="0" w:color="auto"/>
                <w:bottom w:val="none" w:sz="0" w:space="0" w:color="auto"/>
                <w:right w:val="none" w:sz="0" w:space="0" w:color="auto"/>
              </w:divBdr>
            </w:div>
            <w:div w:id="1996254836">
              <w:marLeft w:val="0"/>
              <w:marRight w:val="0"/>
              <w:marTop w:val="0"/>
              <w:marBottom w:val="0"/>
              <w:divBdr>
                <w:top w:val="none" w:sz="0" w:space="0" w:color="auto"/>
                <w:left w:val="none" w:sz="0" w:space="0" w:color="auto"/>
                <w:bottom w:val="none" w:sz="0" w:space="0" w:color="auto"/>
                <w:right w:val="none" w:sz="0" w:space="0" w:color="auto"/>
              </w:divBdr>
            </w:div>
            <w:div w:id="1347176944">
              <w:marLeft w:val="0"/>
              <w:marRight w:val="0"/>
              <w:marTop w:val="0"/>
              <w:marBottom w:val="0"/>
              <w:divBdr>
                <w:top w:val="none" w:sz="0" w:space="0" w:color="auto"/>
                <w:left w:val="none" w:sz="0" w:space="0" w:color="auto"/>
                <w:bottom w:val="none" w:sz="0" w:space="0" w:color="auto"/>
                <w:right w:val="none" w:sz="0" w:space="0" w:color="auto"/>
              </w:divBdr>
            </w:div>
            <w:div w:id="1867477595">
              <w:marLeft w:val="0"/>
              <w:marRight w:val="0"/>
              <w:marTop w:val="0"/>
              <w:marBottom w:val="0"/>
              <w:divBdr>
                <w:top w:val="none" w:sz="0" w:space="0" w:color="auto"/>
                <w:left w:val="none" w:sz="0" w:space="0" w:color="auto"/>
                <w:bottom w:val="none" w:sz="0" w:space="0" w:color="auto"/>
                <w:right w:val="none" w:sz="0" w:space="0" w:color="auto"/>
              </w:divBdr>
            </w:div>
            <w:div w:id="1835757130">
              <w:marLeft w:val="0"/>
              <w:marRight w:val="0"/>
              <w:marTop w:val="0"/>
              <w:marBottom w:val="0"/>
              <w:divBdr>
                <w:top w:val="none" w:sz="0" w:space="0" w:color="auto"/>
                <w:left w:val="none" w:sz="0" w:space="0" w:color="auto"/>
                <w:bottom w:val="none" w:sz="0" w:space="0" w:color="auto"/>
                <w:right w:val="none" w:sz="0" w:space="0" w:color="auto"/>
              </w:divBdr>
            </w:div>
            <w:div w:id="841048305">
              <w:marLeft w:val="0"/>
              <w:marRight w:val="0"/>
              <w:marTop w:val="0"/>
              <w:marBottom w:val="0"/>
              <w:divBdr>
                <w:top w:val="none" w:sz="0" w:space="0" w:color="auto"/>
                <w:left w:val="none" w:sz="0" w:space="0" w:color="auto"/>
                <w:bottom w:val="none" w:sz="0" w:space="0" w:color="auto"/>
                <w:right w:val="none" w:sz="0" w:space="0" w:color="auto"/>
              </w:divBdr>
            </w:div>
            <w:div w:id="1741979145">
              <w:marLeft w:val="0"/>
              <w:marRight w:val="0"/>
              <w:marTop w:val="0"/>
              <w:marBottom w:val="0"/>
              <w:divBdr>
                <w:top w:val="none" w:sz="0" w:space="0" w:color="auto"/>
                <w:left w:val="none" w:sz="0" w:space="0" w:color="auto"/>
                <w:bottom w:val="none" w:sz="0" w:space="0" w:color="auto"/>
                <w:right w:val="none" w:sz="0" w:space="0" w:color="auto"/>
              </w:divBdr>
            </w:div>
            <w:div w:id="837814314">
              <w:marLeft w:val="0"/>
              <w:marRight w:val="0"/>
              <w:marTop w:val="0"/>
              <w:marBottom w:val="0"/>
              <w:divBdr>
                <w:top w:val="none" w:sz="0" w:space="0" w:color="auto"/>
                <w:left w:val="none" w:sz="0" w:space="0" w:color="auto"/>
                <w:bottom w:val="none" w:sz="0" w:space="0" w:color="auto"/>
                <w:right w:val="none" w:sz="0" w:space="0" w:color="auto"/>
              </w:divBdr>
            </w:div>
            <w:div w:id="1871264652">
              <w:marLeft w:val="0"/>
              <w:marRight w:val="0"/>
              <w:marTop w:val="0"/>
              <w:marBottom w:val="0"/>
              <w:divBdr>
                <w:top w:val="none" w:sz="0" w:space="0" w:color="auto"/>
                <w:left w:val="none" w:sz="0" w:space="0" w:color="auto"/>
                <w:bottom w:val="none" w:sz="0" w:space="0" w:color="auto"/>
                <w:right w:val="none" w:sz="0" w:space="0" w:color="auto"/>
              </w:divBdr>
            </w:div>
            <w:div w:id="1779639756">
              <w:marLeft w:val="0"/>
              <w:marRight w:val="0"/>
              <w:marTop w:val="0"/>
              <w:marBottom w:val="0"/>
              <w:divBdr>
                <w:top w:val="none" w:sz="0" w:space="0" w:color="auto"/>
                <w:left w:val="none" w:sz="0" w:space="0" w:color="auto"/>
                <w:bottom w:val="none" w:sz="0" w:space="0" w:color="auto"/>
                <w:right w:val="none" w:sz="0" w:space="0" w:color="auto"/>
              </w:divBdr>
            </w:div>
            <w:div w:id="1326739753">
              <w:marLeft w:val="0"/>
              <w:marRight w:val="0"/>
              <w:marTop w:val="0"/>
              <w:marBottom w:val="0"/>
              <w:divBdr>
                <w:top w:val="none" w:sz="0" w:space="0" w:color="auto"/>
                <w:left w:val="none" w:sz="0" w:space="0" w:color="auto"/>
                <w:bottom w:val="none" w:sz="0" w:space="0" w:color="auto"/>
                <w:right w:val="none" w:sz="0" w:space="0" w:color="auto"/>
              </w:divBdr>
            </w:div>
            <w:div w:id="1104495311">
              <w:marLeft w:val="0"/>
              <w:marRight w:val="0"/>
              <w:marTop w:val="0"/>
              <w:marBottom w:val="0"/>
              <w:divBdr>
                <w:top w:val="none" w:sz="0" w:space="0" w:color="auto"/>
                <w:left w:val="none" w:sz="0" w:space="0" w:color="auto"/>
                <w:bottom w:val="none" w:sz="0" w:space="0" w:color="auto"/>
                <w:right w:val="none" w:sz="0" w:space="0" w:color="auto"/>
              </w:divBdr>
            </w:div>
            <w:div w:id="970211250">
              <w:marLeft w:val="0"/>
              <w:marRight w:val="0"/>
              <w:marTop w:val="0"/>
              <w:marBottom w:val="0"/>
              <w:divBdr>
                <w:top w:val="none" w:sz="0" w:space="0" w:color="auto"/>
                <w:left w:val="none" w:sz="0" w:space="0" w:color="auto"/>
                <w:bottom w:val="none" w:sz="0" w:space="0" w:color="auto"/>
                <w:right w:val="none" w:sz="0" w:space="0" w:color="auto"/>
              </w:divBdr>
            </w:div>
            <w:div w:id="1431585351">
              <w:marLeft w:val="0"/>
              <w:marRight w:val="0"/>
              <w:marTop w:val="0"/>
              <w:marBottom w:val="0"/>
              <w:divBdr>
                <w:top w:val="none" w:sz="0" w:space="0" w:color="auto"/>
                <w:left w:val="none" w:sz="0" w:space="0" w:color="auto"/>
                <w:bottom w:val="none" w:sz="0" w:space="0" w:color="auto"/>
                <w:right w:val="none" w:sz="0" w:space="0" w:color="auto"/>
              </w:divBdr>
            </w:div>
            <w:div w:id="644823442">
              <w:marLeft w:val="0"/>
              <w:marRight w:val="0"/>
              <w:marTop w:val="0"/>
              <w:marBottom w:val="0"/>
              <w:divBdr>
                <w:top w:val="none" w:sz="0" w:space="0" w:color="auto"/>
                <w:left w:val="none" w:sz="0" w:space="0" w:color="auto"/>
                <w:bottom w:val="none" w:sz="0" w:space="0" w:color="auto"/>
                <w:right w:val="none" w:sz="0" w:space="0" w:color="auto"/>
              </w:divBdr>
            </w:div>
            <w:div w:id="2119177419">
              <w:marLeft w:val="0"/>
              <w:marRight w:val="0"/>
              <w:marTop w:val="0"/>
              <w:marBottom w:val="0"/>
              <w:divBdr>
                <w:top w:val="none" w:sz="0" w:space="0" w:color="auto"/>
                <w:left w:val="none" w:sz="0" w:space="0" w:color="auto"/>
                <w:bottom w:val="none" w:sz="0" w:space="0" w:color="auto"/>
                <w:right w:val="none" w:sz="0" w:space="0" w:color="auto"/>
              </w:divBdr>
            </w:div>
            <w:div w:id="407457821">
              <w:marLeft w:val="0"/>
              <w:marRight w:val="0"/>
              <w:marTop w:val="0"/>
              <w:marBottom w:val="0"/>
              <w:divBdr>
                <w:top w:val="none" w:sz="0" w:space="0" w:color="auto"/>
                <w:left w:val="none" w:sz="0" w:space="0" w:color="auto"/>
                <w:bottom w:val="none" w:sz="0" w:space="0" w:color="auto"/>
                <w:right w:val="none" w:sz="0" w:space="0" w:color="auto"/>
              </w:divBdr>
            </w:div>
            <w:div w:id="1400329491">
              <w:marLeft w:val="0"/>
              <w:marRight w:val="0"/>
              <w:marTop w:val="0"/>
              <w:marBottom w:val="0"/>
              <w:divBdr>
                <w:top w:val="none" w:sz="0" w:space="0" w:color="auto"/>
                <w:left w:val="none" w:sz="0" w:space="0" w:color="auto"/>
                <w:bottom w:val="none" w:sz="0" w:space="0" w:color="auto"/>
                <w:right w:val="none" w:sz="0" w:space="0" w:color="auto"/>
              </w:divBdr>
            </w:div>
            <w:div w:id="1895388521">
              <w:marLeft w:val="0"/>
              <w:marRight w:val="0"/>
              <w:marTop w:val="0"/>
              <w:marBottom w:val="0"/>
              <w:divBdr>
                <w:top w:val="none" w:sz="0" w:space="0" w:color="auto"/>
                <w:left w:val="none" w:sz="0" w:space="0" w:color="auto"/>
                <w:bottom w:val="none" w:sz="0" w:space="0" w:color="auto"/>
                <w:right w:val="none" w:sz="0" w:space="0" w:color="auto"/>
              </w:divBdr>
            </w:div>
            <w:div w:id="2128506619">
              <w:marLeft w:val="0"/>
              <w:marRight w:val="0"/>
              <w:marTop w:val="0"/>
              <w:marBottom w:val="0"/>
              <w:divBdr>
                <w:top w:val="none" w:sz="0" w:space="0" w:color="auto"/>
                <w:left w:val="none" w:sz="0" w:space="0" w:color="auto"/>
                <w:bottom w:val="none" w:sz="0" w:space="0" w:color="auto"/>
                <w:right w:val="none" w:sz="0" w:space="0" w:color="auto"/>
              </w:divBdr>
            </w:div>
            <w:div w:id="1526089285">
              <w:marLeft w:val="0"/>
              <w:marRight w:val="0"/>
              <w:marTop w:val="0"/>
              <w:marBottom w:val="0"/>
              <w:divBdr>
                <w:top w:val="none" w:sz="0" w:space="0" w:color="auto"/>
                <w:left w:val="none" w:sz="0" w:space="0" w:color="auto"/>
                <w:bottom w:val="none" w:sz="0" w:space="0" w:color="auto"/>
                <w:right w:val="none" w:sz="0" w:space="0" w:color="auto"/>
              </w:divBdr>
            </w:div>
            <w:div w:id="1733044577">
              <w:marLeft w:val="0"/>
              <w:marRight w:val="0"/>
              <w:marTop w:val="0"/>
              <w:marBottom w:val="0"/>
              <w:divBdr>
                <w:top w:val="none" w:sz="0" w:space="0" w:color="auto"/>
                <w:left w:val="none" w:sz="0" w:space="0" w:color="auto"/>
                <w:bottom w:val="none" w:sz="0" w:space="0" w:color="auto"/>
                <w:right w:val="none" w:sz="0" w:space="0" w:color="auto"/>
              </w:divBdr>
            </w:div>
            <w:div w:id="1891266708">
              <w:marLeft w:val="0"/>
              <w:marRight w:val="0"/>
              <w:marTop w:val="0"/>
              <w:marBottom w:val="0"/>
              <w:divBdr>
                <w:top w:val="none" w:sz="0" w:space="0" w:color="auto"/>
                <w:left w:val="none" w:sz="0" w:space="0" w:color="auto"/>
                <w:bottom w:val="none" w:sz="0" w:space="0" w:color="auto"/>
                <w:right w:val="none" w:sz="0" w:space="0" w:color="auto"/>
              </w:divBdr>
            </w:div>
            <w:div w:id="72898290">
              <w:marLeft w:val="0"/>
              <w:marRight w:val="0"/>
              <w:marTop w:val="0"/>
              <w:marBottom w:val="0"/>
              <w:divBdr>
                <w:top w:val="none" w:sz="0" w:space="0" w:color="auto"/>
                <w:left w:val="none" w:sz="0" w:space="0" w:color="auto"/>
                <w:bottom w:val="none" w:sz="0" w:space="0" w:color="auto"/>
                <w:right w:val="none" w:sz="0" w:space="0" w:color="auto"/>
              </w:divBdr>
            </w:div>
            <w:div w:id="2078017040">
              <w:marLeft w:val="0"/>
              <w:marRight w:val="0"/>
              <w:marTop w:val="0"/>
              <w:marBottom w:val="0"/>
              <w:divBdr>
                <w:top w:val="none" w:sz="0" w:space="0" w:color="auto"/>
                <w:left w:val="none" w:sz="0" w:space="0" w:color="auto"/>
                <w:bottom w:val="none" w:sz="0" w:space="0" w:color="auto"/>
                <w:right w:val="none" w:sz="0" w:space="0" w:color="auto"/>
              </w:divBdr>
            </w:div>
            <w:div w:id="824586582">
              <w:marLeft w:val="0"/>
              <w:marRight w:val="0"/>
              <w:marTop w:val="0"/>
              <w:marBottom w:val="0"/>
              <w:divBdr>
                <w:top w:val="none" w:sz="0" w:space="0" w:color="auto"/>
                <w:left w:val="none" w:sz="0" w:space="0" w:color="auto"/>
                <w:bottom w:val="none" w:sz="0" w:space="0" w:color="auto"/>
                <w:right w:val="none" w:sz="0" w:space="0" w:color="auto"/>
              </w:divBdr>
            </w:div>
            <w:div w:id="1786658687">
              <w:marLeft w:val="0"/>
              <w:marRight w:val="0"/>
              <w:marTop w:val="0"/>
              <w:marBottom w:val="0"/>
              <w:divBdr>
                <w:top w:val="none" w:sz="0" w:space="0" w:color="auto"/>
                <w:left w:val="none" w:sz="0" w:space="0" w:color="auto"/>
                <w:bottom w:val="none" w:sz="0" w:space="0" w:color="auto"/>
                <w:right w:val="none" w:sz="0" w:space="0" w:color="auto"/>
              </w:divBdr>
            </w:div>
            <w:div w:id="91976086">
              <w:marLeft w:val="0"/>
              <w:marRight w:val="0"/>
              <w:marTop w:val="0"/>
              <w:marBottom w:val="0"/>
              <w:divBdr>
                <w:top w:val="none" w:sz="0" w:space="0" w:color="auto"/>
                <w:left w:val="none" w:sz="0" w:space="0" w:color="auto"/>
                <w:bottom w:val="none" w:sz="0" w:space="0" w:color="auto"/>
                <w:right w:val="none" w:sz="0" w:space="0" w:color="auto"/>
              </w:divBdr>
            </w:div>
            <w:div w:id="1491141538">
              <w:marLeft w:val="0"/>
              <w:marRight w:val="0"/>
              <w:marTop w:val="0"/>
              <w:marBottom w:val="0"/>
              <w:divBdr>
                <w:top w:val="none" w:sz="0" w:space="0" w:color="auto"/>
                <w:left w:val="none" w:sz="0" w:space="0" w:color="auto"/>
                <w:bottom w:val="none" w:sz="0" w:space="0" w:color="auto"/>
                <w:right w:val="none" w:sz="0" w:space="0" w:color="auto"/>
              </w:divBdr>
            </w:div>
            <w:div w:id="1005086836">
              <w:marLeft w:val="0"/>
              <w:marRight w:val="0"/>
              <w:marTop w:val="0"/>
              <w:marBottom w:val="0"/>
              <w:divBdr>
                <w:top w:val="none" w:sz="0" w:space="0" w:color="auto"/>
                <w:left w:val="none" w:sz="0" w:space="0" w:color="auto"/>
                <w:bottom w:val="none" w:sz="0" w:space="0" w:color="auto"/>
                <w:right w:val="none" w:sz="0" w:space="0" w:color="auto"/>
              </w:divBdr>
            </w:div>
            <w:div w:id="1215114890">
              <w:marLeft w:val="0"/>
              <w:marRight w:val="0"/>
              <w:marTop w:val="0"/>
              <w:marBottom w:val="0"/>
              <w:divBdr>
                <w:top w:val="none" w:sz="0" w:space="0" w:color="auto"/>
                <w:left w:val="none" w:sz="0" w:space="0" w:color="auto"/>
                <w:bottom w:val="none" w:sz="0" w:space="0" w:color="auto"/>
                <w:right w:val="none" w:sz="0" w:space="0" w:color="auto"/>
              </w:divBdr>
            </w:div>
            <w:div w:id="695891195">
              <w:marLeft w:val="0"/>
              <w:marRight w:val="0"/>
              <w:marTop w:val="0"/>
              <w:marBottom w:val="0"/>
              <w:divBdr>
                <w:top w:val="none" w:sz="0" w:space="0" w:color="auto"/>
                <w:left w:val="none" w:sz="0" w:space="0" w:color="auto"/>
                <w:bottom w:val="none" w:sz="0" w:space="0" w:color="auto"/>
                <w:right w:val="none" w:sz="0" w:space="0" w:color="auto"/>
              </w:divBdr>
            </w:div>
            <w:div w:id="623853662">
              <w:marLeft w:val="0"/>
              <w:marRight w:val="0"/>
              <w:marTop w:val="0"/>
              <w:marBottom w:val="0"/>
              <w:divBdr>
                <w:top w:val="none" w:sz="0" w:space="0" w:color="auto"/>
                <w:left w:val="none" w:sz="0" w:space="0" w:color="auto"/>
                <w:bottom w:val="none" w:sz="0" w:space="0" w:color="auto"/>
                <w:right w:val="none" w:sz="0" w:space="0" w:color="auto"/>
              </w:divBdr>
            </w:div>
            <w:div w:id="615259512">
              <w:marLeft w:val="0"/>
              <w:marRight w:val="0"/>
              <w:marTop w:val="0"/>
              <w:marBottom w:val="0"/>
              <w:divBdr>
                <w:top w:val="none" w:sz="0" w:space="0" w:color="auto"/>
                <w:left w:val="none" w:sz="0" w:space="0" w:color="auto"/>
                <w:bottom w:val="none" w:sz="0" w:space="0" w:color="auto"/>
                <w:right w:val="none" w:sz="0" w:space="0" w:color="auto"/>
              </w:divBdr>
            </w:div>
            <w:div w:id="1797214554">
              <w:marLeft w:val="0"/>
              <w:marRight w:val="0"/>
              <w:marTop w:val="0"/>
              <w:marBottom w:val="0"/>
              <w:divBdr>
                <w:top w:val="none" w:sz="0" w:space="0" w:color="auto"/>
                <w:left w:val="none" w:sz="0" w:space="0" w:color="auto"/>
                <w:bottom w:val="none" w:sz="0" w:space="0" w:color="auto"/>
                <w:right w:val="none" w:sz="0" w:space="0" w:color="auto"/>
              </w:divBdr>
            </w:div>
            <w:div w:id="203829615">
              <w:marLeft w:val="0"/>
              <w:marRight w:val="0"/>
              <w:marTop w:val="0"/>
              <w:marBottom w:val="0"/>
              <w:divBdr>
                <w:top w:val="none" w:sz="0" w:space="0" w:color="auto"/>
                <w:left w:val="none" w:sz="0" w:space="0" w:color="auto"/>
                <w:bottom w:val="none" w:sz="0" w:space="0" w:color="auto"/>
                <w:right w:val="none" w:sz="0" w:space="0" w:color="auto"/>
              </w:divBdr>
            </w:div>
            <w:div w:id="127599908">
              <w:marLeft w:val="0"/>
              <w:marRight w:val="0"/>
              <w:marTop w:val="0"/>
              <w:marBottom w:val="0"/>
              <w:divBdr>
                <w:top w:val="none" w:sz="0" w:space="0" w:color="auto"/>
                <w:left w:val="none" w:sz="0" w:space="0" w:color="auto"/>
                <w:bottom w:val="none" w:sz="0" w:space="0" w:color="auto"/>
                <w:right w:val="none" w:sz="0" w:space="0" w:color="auto"/>
              </w:divBdr>
            </w:div>
            <w:div w:id="1067651352">
              <w:marLeft w:val="0"/>
              <w:marRight w:val="0"/>
              <w:marTop w:val="0"/>
              <w:marBottom w:val="0"/>
              <w:divBdr>
                <w:top w:val="none" w:sz="0" w:space="0" w:color="auto"/>
                <w:left w:val="none" w:sz="0" w:space="0" w:color="auto"/>
                <w:bottom w:val="none" w:sz="0" w:space="0" w:color="auto"/>
                <w:right w:val="none" w:sz="0" w:space="0" w:color="auto"/>
              </w:divBdr>
            </w:div>
            <w:div w:id="1636643067">
              <w:marLeft w:val="0"/>
              <w:marRight w:val="0"/>
              <w:marTop w:val="0"/>
              <w:marBottom w:val="0"/>
              <w:divBdr>
                <w:top w:val="none" w:sz="0" w:space="0" w:color="auto"/>
                <w:left w:val="none" w:sz="0" w:space="0" w:color="auto"/>
                <w:bottom w:val="none" w:sz="0" w:space="0" w:color="auto"/>
                <w:right w:val="none" w:sz="0" w:space="0" w:color="auto"/>
              </w:divBdr>
            </w:div>
            <w:div w:id="601960629">
              <w:marLeft w:val="0"/>
              <w:marRight w:val="0"/>
              <w:marTop w:val="0"/>
              <w:marBottom w:val="0"/>
              <w:divBdr>
                <w:top w:val="none" w:sz="0" w:space="0" w:color="auto"/>
                <w:left w:val="none" w:sz="0" w:space="0" w:color="auto"/>
                <w:bottom w:val="none" w:sz="0" w:space="0" w:color="auto"/>
                <w:right w:val="none" w:sz="0" w:space="0" w:color="auto"/>
              </w:divBdr>
            </w:div>
            <w:div w:id="295063900">
              <w:marLeft w:val="0"/>
              <w:marRight w:val="0"/>
              <w:marTop w:val="0"/>
              <w:marBottom w:val="0"/>
              <w:divBdr>
                <w:top w:val="none" w:sz="0" w:space="0" w:color="auto"/>
                <w:left w:val="none" w:sz="0" w:space="0" w:color="auto"/>
                <w:bottom w:val="none" w:sz="0" w:space="0" w:color="auto"/>
                <w:right w:val="none" w:sz="0" w:space="0" w:color="auto"/>
              </w:divBdr>
            </w:div>
            <w:div w:id="1009866079">
              <w:marLeft w:val="0"/>
              <w:marRight w:val="0"/>
              <w:marTop w:val="0"/>
              <w:marBottom w:val="0"/>
              <w:divBdr>
                <w:top w:val="none" w:sz="0" w:space="0" w:color="auto"/>
                <w:left w:val="none" w:sz="0" w:space="0" w:color="auto"/>
                <w:bottom w:val="none" w:sz="0" w:space="0" w:color="auto"/>
                <w:right w:val="none" w:sz="0" w:space="0" w:color="auto"/>
              </w:divBdr>
            </w:div>
            <w:div w:id="1949121500">
              <w:marLeft w:val="0"/>
              <w:marRight w:val="0"/>
              <w:marTop w:val="0"/>
              <w:marBottom w:val="0"/>
              <w:divBdr>
                <w:top w:val="none" w:sz="0" w:space="0" w:color="auto"/>
                <w:left w:val="none" w:sz="0" w:space="0" w:color="auto"/>
                <w:bottom w:val="none" w:sz="0" w:space="0" w:color="auto"/>
                <w:right w:val="none" w:sz="0" w:space="0" w:color="auto"/>
              </w:divBdr>
            </w:div>
            <w:div w:id="206264534">
              <w:marLeft w:val="0"/>
              <w:marRight w:val="0"/>
              <w:marTop w:val="0"/>
              <w:marBottom w:val="0"/>
              <w:divBdr>
                <w:top w:val="none" w:sz="0" w:space="0" w:color="auto"/>
                <w:left w:val="none" w:sz="0" w:space="0" w:color="auto"/>
                <w:bottom w:val="none" w:sz="0" w:space="0" w:color="auto"/>
                <w:right w:val="none" w:sz="0" w:space="0" w:color="auto"/>
              </w:divBdr>
            </w:div>
            <w:div w:id="638071055">
              <w:marLeft w:val="0"/>
              <w:marRight w:val="0"/>
              <w:marTop w:val="0"/>
              <w:marBottom w:val="0"/>
              <w:divBdr>
                <w:top w:val="none" w:sz="0" w:space="0" w:color="auto"/>
                <w:left w:val="none" w:sz="0" w:space="0" w:color="auto"/>
                <w:bottom w:val="none" w:sz="0" w:space="0" w:color="auto"/>
                <w:right w:val="none" w:sz="0" w:space="0" w:color="auto"/>
              </w:divBdr>
            </w:div>
            <w:div w:id="539980115">
              <w:marLeft w:val="0"/>
              <w:marRight w:val="0"/>
              <w:marTop w:val="0"/>
              <w:marBottom w:val="0"/>
              <w:divBdr>
                <w:top w:val="none" w:sz="0" w:space="0" w:color="auto"/>
                <w:left w:val="none" w:sz="0" w:space="0" w:color="auto"/>
                <w:bottom w:val="none" w:sz="0" w:space="0" w:color="auto"/>
                <w:right w:val="none" w:sz="0" w:space="0" w:color="auto"/>
              </w:divBdr>
            </w:div>
            <w:div w:id="584652300">
              <w:marLeft w:val="0"/>
              <w:marRight w:val="0"/>
              <w:marTop w:val="0"/>
              <w:marBottom w:val="0"/>
              <w:divBdr>
                <w:top w:val="none" w:sz="0" w:space="0" w:color="auto"/>
                <w:left w:val="none" w:sz="0" w:space="0" w:color="auto"/>
                <w:bottom w:val="none" w:sz="0" w:space="0" w:color="auto"/>
                <w:right w:val="none" w:sz="0" w:space="0" w:color="auto"/>
              </w:divBdr>
            </w:div>
            <w:div w:id="375784522">
              <w:marLeft w:val="0"/>
              <w:marRight w:val="0"/>
              <w:marTop w:val="0"/>
              <w:marBottom w:val="0"/>
              <w:divBdr>
                <w:top w:val="none" w:sz="0" w:space="0" w:color="auto"/>
                <w:left w:val="none" w:sz="0" w:space="0" w:color="auto"/>
                <w:bottom w:val="none" w:sz="0" w:space="0" w:color="auto"/>
                <w:right w:val="none" w:sz="0" w:space="0" w:color="auto"/>
              </w:divBdr>
            </w:div>
            <w:div w:id="1609043182">
              <w:marLeft w:val="0"/>
              <w:marRight w:val="0"/>
              <w:marTop w:val="0"/>
              <w:marBottom w:val="0"/>
              <w:divBdr>
                <w:top w:val="none" w:sz="0" w:space="0" w:color="auto"/>
                <w:left w:val="none" w:sz="0" w:space="0" w:color="auto"/>
                <w:bottom w:val="none" w:sz="0" w:space="0" w:color="auto"/>
                <w:right w:val="none" w:sz="0" w:space="0" w:color="auto"/>
              </w:divBdr>
            </w:div>
            <w:div w:id="895509034">
              <w:marLeft w:val="0"/>
              <w:marRight w:val="0"/>
              <w:marTop w:val="0"/>
              <w:marBottom w:val="0"/>
              <w:divBdr>
                <w:top w:val="none" w:sz="0" w:space="0" w:color="auto"/>
                <w:left w:val="none" w:sz="0" w:space="0" w:color="auto"/>
                <w:bottom w:val="none" w:sz="0" w:space="0" w:color="auto"/>
                <w:right w:val="none" w:sz="0" w:space="0" w:color="auto"/>
              </w:divBdr>
            </w:div>
            <w:div w:id="894120146">
              <w:marLeft w:val="0"/>
              <w:marRight w:val="0"/>
              <w:marTop w:val="0"/>
              <w:marBottom w:val="0"/>
              <w:divBdr>
                <w:top w:val="none" w:sz="0" w:space="0" w:color="auto"/>
                <w:left w:val="none" w:sz="0" w:space="0" w:color="auto"/>
                <w:bottom w:val="none" w:sz="0" w:space="0" w:color="auto"/>
                <w:right w:val="none" w:sz="0" w:space="0" w:color="auto"/>
              </w:divBdr>
            </w:div>
            <w:div w:id="1901743990">
              <w:marLeft w:val="0"/>
              <w:marRight w:val="0"/>
              <w:marTop w:val="0"/>
              <w:marBottom w:val="0"/>
              <w:divBdr>
                <w:top w:val="none" w:sz="0" w:space="0" w:color="auto"/>
                <w:left w:val="none" w:sz="0" w:space="0" w:color="auto"/>
                <w:bottom w:val="none" w:sz="0" w:space="0" w:color="auto"/>
                <w:right w:val="none" w:sz="0" w:space="0" w:color="auto"/>
              </w:divBdr>
            </w:div>
            <w:div w:id="1672636573">
              <w:marLeft w:val="0"/>
              <w:marRight w:val="0"/>
              <w:marTop w:val="0"/>
              <w:marBottom w:val="0"/>
              <w:divBdr>
                <w:top w:val="none" w:sz="0" w:space="0" w:color="auto"/>
                <w:left w:val="none" w:sz="0" w:space="0" w:color="auto"/>
                <w:bottom w:val="none" w:sz="0" w:space="0" w:color="auto"/>
                <w:right w:val="none" w:sz="0" w:space="0" w:color="auto"/>
              </w:divBdr>
            </w:div>
            <w:div w:id="30232728">
              <w:marLeft w:val="0"/>
              <w:marRight w:val="0"/>
              <w:marTop w:val="0"/>
              <w:marBottom w:val="0"/>
              <w:divBdr>
                <w:top w:val="none" w:sz="0" w:space="0" w:color="auto"/>
                <w:left w:val="none" w:sz="0" w:space="0" w:color="auto"/>
                <w:bottom w:val="none" w:sz="0" w:space="0" w:color="auto"/>
                <w:right w:val="none" w:sz="0" w:space="0" w:color="auto"/>
              </w:divBdr>
            </w:div>
            <w:div w:id="1262907929">
              <w:marLeft w:val="0"/>
              <w:marRight w:val="0"/>
              <w:marTop w:val="0"/>
              <w:marBottom w:val="0"/>
              <w:divBdr>
                <w:top w:val="none" w:sz="0" w:space="0" w:color="auto"/>
                <w:left w:val="none" w:sz="0" w:space="0" w:color="auto"/>
                <w:bottom w:val="none" w:sz="0" w:space="0" w:color="auto"/>
                <w:right w:val="none" w:sz="0" w:space="0" w:color="auto"/>
              </w:divBdr>
            </w:div>
            <w:div w:id="1538473216">
              <w:marLeft w:val="0"/>
              <w:marRight w:val="0"/>
              <w:marTop w:val="0"/>
              <w:marBottom w:val="0"/>
              <w:divBdr>
                <w:top w:val="none" w:sz="0" w:space="0" w:color="auto"/>
                <w:left w:val="none" w:sz="0" w:space="0" w:color="auto"/>
                <w:bottom w:val="none" w:sz="0" w:space="0" w:color="auto"/>
                <w:right w:val="none" w:sz="0" w:space="0" w:color="auto"/>
              </w:divBdr>
            </w:div>
            <w:div w:id="74405724">
              <w:marLeft w:val="0"/>
              <w:marRight w:val="0"/>
              <w:marTop w:val="0"/>
              <w:marBottom w:val="0"/>
              <w:divBdr>
                <w:top w:val="none" w:sz="0" w:space="0" w:color="auto"/>
                <w:left w:val="none" w:sz="0" w:space="0" w:color="auto"/>
                <w:bottom w:val="none" w:sz="0" w:space="0" w:color="auto"/>
                <w:right w:val="none" w:sz="0" w:space="0" w:color="auto"/>
              </w:divBdr>
            </w:div>
            <w:div w:id="1323587287">
              <w:marLeft w:val="0"/>
              <w:marRight w:val="0"/>
              <w:marTop w:val="0"/>
              <w:marBottom w:val="0"/>
              <w:divBdr>
                <w:top w:val="none" w:sz="0" w:space="0" w:color="auto"/>
                <w:left w:val="none" w:sz="0" w:space="0" w:color="auto"/>
                <w:bottom w:val="none" w:sz="0" w:space="0" w:color="auto"/>
                <w:right w:val="none" w:sz="0" w:space="0" w:color="auto"/>
              </w:divBdr>
            </w:div>
            <w:div w:id="1577088620">
              <w:marLeft w:val="0"/>
              <w:marRight w:val="0"/>
              <w:marTop w:val="0"/>
              <w:marBottom w:val="0"/>
              <w:divBdr>
                <w:top w:val="none" w:sz="0" w:space="0" w:color="auto"/>
                <w:left w:val="none" w:sz="0" w:space="0" w:color="auto"/>
                <w:bottom w:val="none" w:sz="0" w:space="0" w:color="auto"/>
                <w:right w:val="none" w:sz="0" w:space="0" w:color="auto"/>
              </w:divBdr>
            </w:div>
            <w:div w:id="843134039">
              <w:marLeft w:val="0"/>
              <w:marRight w:val="0"/>
              <w:marTop w:val="0"/>
              <w:marBottom w:val="0"/>
              <w:divBdr>
                <w:top w:val="none" w:sz="0" w:space="0" w:color="auto"/>
                <w:left w:val="none" w:sz="0" w:space="0" w:color="auto"/>
                <w:bottom w:val="none" w:sz="0" w:space="0" w:color="auto"/>
                <w:right w:val="none" w:sz="0" w:space="0" w:color="auto"/>
              </w:divBdr>
            </w:div>
            <w:div w:id="1244073499">
              <w:marLeft w:val="0"/>
              <w:marRight w:val="0"/>
              <w:marTop w:val="0"/>
              <w:marBottom w:val="0"/>
              <w:divBdr>
                <w:top w:val="none" w:sz="0" w:space="0" w:color="auto"/>
                <w:left w:val="none" w:sz="0" w:space="0" w:color="auto"/>
                <w:bottom w:val="none" w:sz="0" w:space="0" w:color="auto"/>
                <w:right w:val="none" w:sz="0" w:space="0" w:color="auto"/>
              </w:divBdr>
            </w:div>
            <w:div w:id="807894814">
              <w:marLeft w:val="0"/>
              <w:marRight w:val="0"/>
              <w:marTop w:val="0"/>
              <w:marBottom w:val="0"/>
              <w:divBdr>
                <w:top w:val="none" w:sz="0" w:space="0" w:color="auto"/>
                <w:left w:val="none" w:sz="0" w:space="0" w:color="auto"/>
                <w:bottom w:val="none" w:sz="0" w:space="0" w:color="auto"/>
                <w:right w:val="none" w:sz="0" w:space="0" w:color="auto"/>
              </w:divBdr>
            </w:div>
            <w:div w:id="1857571121">
              <w:marLeft w:val="0"/>
              <w:marRight w:val="0"/>
              <w:marTop w:val="0"/>
              <w:marBottom w:val="0"/>
              <w:divBdr>
                <w:top w:val="none" w:sz="0" w:space="0" w:color="auto"/>
                <w:left w:val="none" w:sz="0" w:space="0" w:color="auto"/>
                <w:bottom w:val="none" w:sz="0" w:space="0" w:color="auto"/>
                <w:right w:val="none" w:sz="0" w:space="0" w:color="auto"/>
              </w:divBdr>
            </w:div>
            <w:div w:id="1237283436">
              <w:marLeft w:val="0"/>
              <w:marRight w:val="0"/>
              <w:marTop w:val="0"/>
              <w:marBottom w:val="0"/>
              <w:divBdr>
                <w:top w:val="none" w:sz="0" w:space="0" w:color="auto"/>
                <w:left w:val="none" w:sz="0" w:space="0" w:color="auto"/>
                <w:bottom w:val="none" w:sz="0" w:space="0" w:color="auto"/>
                <w:right w:val="none" w:sz="0" w:space="0" w:color="auto"/>
              </w:divBdr>
            </w:div>
            <w:div w:id="1927764317">
              <w:marLeft w:val="0"/>
              <w:marRight w:val="0"/>
              <w:marTop w:val="0"/>
              <w:marBottom w:val="0"/>
              <w:divBdr>
                <w:top w:val="none" w:sz="0" w:space="0" w:color="auto"/>
                <w:left w:val="none" w:sz="0" w:space="0" w:color="auto"/>
                <w:bottom w:val="none" w:sz="0" w:space="0" w:color="auto"/>
                <w:right w:val="none" w:sz="0" w:space="0" w:color="auto"/>
              </w:divBdr>
            </w:div>
            <w:div w:id="1032917486">
              <w:marLeft w:val="0"/>
              <w:marRight w:val="0"/>
              <w:marTop w:val="0"/>
              <w:marBottom w:val="0"/>
              <w:divBdr>
                <w:top w:val="none" w:sz="0" w:space="0" w:color="auto"/>
                <w:left w:val="none" w:sz="0" w:space="0" w:color="auto"/>
                <w:bottom w:val="none" w:sz="0" w:space="0" w:color="auto"/>
                <w:right w:val="none" w:sz="0" w:space="0" w:color="auto"/>
              </w:divBdr>
            </w:div>
            <w:div w:id="1254703678">
              <w:marLeft w:val="0"/>
              <w:marRight w:val="0"/>
              <w:marTop w:val="0"/>
              <w:marBottom w:val="0"/>
              <w:divBdr>
                <w:top w:val="none" w:sz="0" w:space="0" w:color="auto"/>
                <w:left w:val="none" w:sz="0" w:space="0" w:color="auto"/>
                <w:bottom w:val="none" w:sz="0" w:space="0" w:color="auto"/>
                <w:right w:val="none" w:sz="0" w:space="0" w:color="auto"/>
              </w:divBdr>
            </w:div>
            <w:div w:id="1305693801">
              <w:marLeft w:val="0"/>
              <w:marRight w:val="0"/>
              <w:marTop w:val="0"/>
              <w:marBottom w:val="0"/>
              <w:divBdr>
                <w:top w:val="none" w:sz="0" w:space="0" w:color="auto"/>
                <w:left w:val="none" w:sz="0" w:space="0" w:color="auto"/>
                <w:bottom w:val="none" w:sz="0" w:space="0" w:color="auto"/>
                <w:right w:val="none" w:sz="0" w:space="0" w:color="auto"/>
              </w:divBdr>
            </w:div>
            <w:div w:id="2069649087">
              <w:marLeft w:val="0"/>
              <w:marRight w:val="0"/>
              <w:marTop w:val="0"/>
              <w:marBottom w:val="0"/>
              <w:divBdr>
                <w:top w:val="none" w:sz="0" w:space="0" w:color="auto"/>
                <w:left w:val="none" w:sz="0" w:space="0" w:color="auto"/>
                <w:bottom w:val="none" w:sz="0" w:space="0" w:color="auto"/>
                <w:right w:val="none" w:sz="0" w:space="0" w:color="auto"/>
              </w:divBdr>
            </w:div>
            <w:div w:id="2052805313">
              <w:marLeft w:val="0"/>
              <w:marRight w:val="0"/>
              <w:marTop w:val="0"/>
              <w:marBottom w:val="0"/>
              <w:divBdr>
                <w:top w:val="none" w:sz="0" w:space="0" w:color="auto"/>
                <w:left w:val="none" w:sz="0" w:space="0" w:color="auto"/>
                <w:bottom w:val="none" w:sz="0" w:space="0" w:color="auto"/>
                <w:right w:val="none" w:sz="0" w:space="0" w:color="auto"/>
              </w:divBdr>
            </w:div>
            <w:div w:id="755711758">
              <w:marLeft w:val="0"/>
              <w:marRight w:val="0"/>
              <w:marTop w:val="0"/>
              <w:marBottom w:val="0"/>
              <w:divBdr>
                <w:top w:val="none" w:sz="0" w:space="0" w:color="auto"/>
                <w:left w:val="none" w:sz="0" w:space="0" w:color="auto"/>
                <w:bottom w:val="none" w:sz="0" w:space="0" w:color="auto"/>
                <w:right w:val="none" w:sz="0" w:space="0" w:color="auto"/>
              </w:divBdr>
            </w:div>
            <w:div w:id="2100372536">
              <w:marLeft w:val="0"/>
              <w:marRight w:val="0"/>
              <w:marTop w:val="0"/>
              <w:marBottom w:val="0"/>
              <w:divBdr>
                <w:top w:val="none" w:sz="0" w:space="0" w:color="auto"/>
                <w:left w:val="none" w:sz="0" w:space="0" w:color="auto"/>
                <w:bottom w:val="none" w:sz="0" w:space="0" w:color="auto"/>
                <w:right w:val="none" w:sz="0" w:space="0" w:color="auto"/>
              </w:divBdr>
            </w:div>
            <w:div w:id="401490471">
              <w:marLeft w:val="0"/>
              <w:marRight w:val="0"/>
              <w:marTop w:val="0"/>
              <w:marBottom w:val="0"/>
              <w:divBdr>
                <w:top w:val="none" w:sz="0" w:space="0" w:color="auto"/>
                <w:left w:val="none" w:sz="0" w:space="0" w:color="auto"/>
                <w:bottom w:val="none" w:sz="0" w:space="0" w:color="auto"/>
                <w:right w:val="none" w:sz="0" w:space="0" w:color="auto"/>
              </w:divBdr>
            </w:div>
            <w:div w:id="1331980195">
              <w:marLeft w:val="0"/>
              <w:marRight w:val="0"/>
              <w:marTop w:val="0"/>
              <w:marBottom w:val="0"/>
              <w:divBdr>
                <w:top w:val="none" w:sz="0" w:space="0" w:color="auto"/>
                <w:left w:val="none" w:sz="0" w:space="0" w:color="auto"/>
                <w:bottom w:val="none" w:sz="0" w:space="0" w:color="auto"/>
                <w:right w:val="none" w:sz="0" w:space="0" w:color="auto"/>
              </w:divBdr>
            </w:div>
            <w:div w:id="1105350671">
              <w:marLeft w:val="0"/>
              <w:marRight w:val="0"/>
              <w:marTop w:val="0"/>
              <w:marBottom w:val="0"/>
              <w:divBdr>
                <w:top w:val="none" w:sz="0" w:space="0" w:color="auto"/>
                <w:left w:val="none" w:sz="0" w:space="0" w:color="auto"/>
                <w:bottom w:val="none" w:sz="0" w:space="0" w:color="auto"/>
                <w:right w:val="none" w:sz="0" w:space="0" w:color="auto"/>
              </w:divBdr>
            </w:div>
            <w:div w:id="1776975186">
              <w:marLeft w:val="0"/>
              <w:marRight w:val="0"/>
              <w:marTop w:val="0"/>
              <w:marBottom w:val="0"/>
              <w:divBdr>
                <w:top w:val="none" w:sz="0" w:space="0" w:color="auto"/>
                <w:left w:val="none" w:sz="0" w:space="0" w:color="auto"/>
                <w:bottom w:val="none" w:sz="0" w:space="0" w:color="auto"/>
                <w:right w:val="none" w:sz="0" w:space="0" w:color="auto"/>
              </w:divBdr>
            </w:div>
            <w:div w:id="1750073384">
              <w:marLeft w:val="0"/>
              <w:marRight w:val="0"/>
              <w:marTop w:val="0"/>
              <w:marBottom w:val="0"/>
              <w:divBdr>
                <w:top w:val="none" w:sz="0" w:space="0" w:color="auto"/>
                <w:left w:val="none" w:sz="0" w:space="0" w:color="auto"/>
                <w:bottom w:val="none" w:sz="0" w:space="0" w:color="auto"/>
                <w:right w:val="none" w:sz="0" w:space="0" w:color="auto"/>
              </w:divBdr>
            </w:div>
            <w:div w:id="623197374">
              <w:marLeft w:val="0"/>
              <w:marRight w:val="0"/>
              <w:marTop w:val="0"/>
              <w:marBottom w:val="0"/>
              <w:divBdr>
                <w:top w:val="none" w:sz="0" w:space="0" w:color="auto"/>
                <w:left w:val="none" w:sz="0" w:space="0" w:color="auto"/>
                <w:bottom w:val="none" w:sz="0" w:space="0" w:color="auto"/>
                <w:right w:val="none" w:sz="0" w:space="0" w:color="auto"/>
              </w:divBdr>
            </w:div>
            <w:div w:id="833181847">
              <w:marLeft w:val="0"/>
              <w:marRight w:val="0"/>
              <w:marTop w:val="0"/>
              <w:marBottom w:val="0"/>
              <w:divBdr>
                <w:top w:val="none" w:sz="0" w:space="0" w:color="auto"/>
                <w:left w:val="none" w:sz="0" w:space="0" w:color="auto"/>
                <w:bottom w:val="none" w:sz="0" w:space="0" w:color="auto"/>
                <w:right w:val="none" w:sz="0" w:space="0" w:color="auto"/>
              </w:divBdr>
            </w:div>
            <w:div w:id="477570350">
              <w:marLeft w:val="0"/>
              <w:marRight w:val="0"/>
              <w:marTop w:val="0"/>
              <w:marBottom w:val="0"/>
              <w:divBdr>
                <w:top w:val="none" w:sz="0" w:space="0" w:color="auto"/>
                <w:left w:val="none" w:sz="0" w:space="0" w:color="auto"/>
                <w:bottom w:val="none" w:sz="0" w:space="0" w:color="auto"/>
                <w:right w:val="none" w:sz="0" w:space="0" w:color="auto"/>
              </w:divBdr>
            </w:div>
            <w:div w:id="1341815965">
              <w:marLeft w:val="0"/>
              <w:marRight w:val="0"/>
              <w:marTop w:val="0"/>
              <w:marBottom w:val="0"/>
              <w:divBdr>
                <w:top w:val="none" w:sz="0" w:space="0" w:color="auto"/>
                <w:left w:val="none" w:sz="0" w:space="0" w:color="auto"/>
                <w:bottom w:val="none" w:sz="0" w:space="0" w:color="auto"/>
                <w:right w:val="none" w:sz="0" w:space="0" w:color="auto"/>
              </w:divBdr>
            </w:div>
            <w:div w:id="1659334973">
              <w:marLeft w:val="0"/>
              <w:marRight w:val="0"/>
              <w:marTop w:val="0"/>
              <w:marBottom w:val="0"/>
              <w:divBdr>
                <w:top w:val="none" w:sz="0" w:space="0" w:color="auto"/>
                <w:left w:val="none" w:sz="0" w:space="0" w:color="auto"/>
                <w:bottom w:val="none" w:sz="0" w:space="0" w:color="auto"/>
                <w:right w:val="none" w:sz="0" w:space="0" w:color="auto"/>
              </w:divBdr>
            </w:div>
            <w:div w:id="2036274821">
              <w:marLeft w:val="0"/>
              <w:marRight w:val="0"/>
              <w:marTop w:val="0"/>
              <w:marBottom w:val="0"/>
              <w:divBdr>
                <w:top w:val="none" w:sz="0" w:space="0" w:color="auto"/>
                <w:left w:val="none" w:sz="0" w:space="0" w:color="auto"/>
                <w:bottom w:val="none" w:sz="0" w:space="0" w:color="auto"/>
                <w:right w:val="none" w:sz="0" w:space="0" w:color="auto"/>
              </w:divBdr>
            </w:div>
            <w:div w:id="579680218">
              <w:marLeft w:val="0"/>
              <w:marRight w:val="0"/>
              <w:marTop w:val="0"/>
              <w:marBottom w:val="0"/>
              <w:divBdr>
                <w:top w:val="none" w:sz="0" w:space="0" w:color="auto"/>
                <w:left w:val="none" w:sz="0" w:space="0" w:color="auto"/>
                <w:bottom w:val="none" w:sz="0" w:space="0" w:color="auto"/>
                <w:right w:val="none" w:sz="0" w:space="0" w:color="auto"/>
              </w:divBdr>
            </w:div>
            <w:div w:id="1716389584">
              <w:marLeft w:val="0"/>
              <w:marRight w:val="0"/>
              <w:marTop w:val="0"/>
              <w:marBottom w:val="0"/>
              <w:divBdr>
                <w:top w:val="none" w:sz="0" w:space="0" w:color="auto"/>
                <w:left w:val="none" w:sz="0" w:space="0" w:color="auto"/>
                <w:bottom w:val="none" w:sz="0" w:space="0" w:color="auto"/>
                <w:right w:val="none" w:sz="0" w:space="0" w:color="auto"/>
              </w:divBdr>
            </w:div>
            <w:div w:id="2132940490">
              <w:marLeft w:val="0"/>
              <w:marRight w:val="0"/>
              <w:marTop w:val="0"/>
              <w:marBottom w:val="0"/>
              <w:divBdr>
                <w:top w:val="none" w:sz="0" w:space="0" w:color="auto"/>
                <w:left w:val="none" w:sz="0" w:space="0" w:color="auto"/>
                <w:bottom w:val="none" w:sz="0" w:space="0" w:color="auto"/>
                <w:right w:val="none" w:sz="0" w:space="0" w:color="auto"/>
              </w:divBdr>
            </w:div>
            <w:div w:id="193463893">
              <w:marLeft w:val="0"/>
              <w:marRight w:val="0"/>
              <w:marTop w:val="0"/>
              <w:marBottom w:val="0"/>
              <w:divBdr>
                <w:top w:val="none" w:sz="0" w:space="0" w:color="auto"/>
                <w:left w:val="none" w:sz="0" w:space="0" w:color="auto"/>
                <w:bottom w:val="none" w:sz="0" w:space="0" w:color="auto"/>
                <w:right w:val="none" w:sz="0" w:space="0" w:color="auto"/>
              </w:divBdr>
            </w:div>
            <w:div w:id="1155338764">
              <w:marLeft w:val="0"/>
              <w:marRight w:val="0"/>
              <w:marTop w:val="0"/>
              <w:marBottom w:val="0"/>
              <w:divBdr>
                <w:top w:val="none" w:sz="0" w:space="0" w:color="auto"/>
                <w:left w:val="none" w:sz="0" w:space="0" w:color="auto"/>
                <w:bottom w:val="none" w:sz="0" w:space="0" w:color="auto"/>
                <w:right w:val="none" w:sz="0" w:space="0" w:color="auto"/>
              </w:divBdr>
            </w:div>
            <w:div w:id="1975065268">
              <w:marLeft w:val="0"/>
              <w:marRight w:val="0"/>
              <w:marTop w:val="0"/>
              <w:marBottom w:val="0"/>
              <w:divBdr>
                <w:top w:val="none" w:sz="0" w:space="0" w:color="auto"/>
                <w:left w:val="none" w:sz="0" w:space="0" w:color="auto"/>
                <w:bottom w:val="none" w:sz="0" w:space="0" w:color="auto"/>
                <w:right w:val="none" w:sz="0" w:space="0" w:color="auto"/>
              </w:divBdr>
            </w:div>
            <w:div w:id="1917351732">
              <w:marLeft w:val="0"/>
              <w:marRight w:val="0"/>
              <w:marTop w:val="0"/>
              <w:marBottom w:val="0"/>
              <w:divBdr>
                <w:top w:val="none" w:sz="0" w:space="0" w:color="auto"/>
                <w:left w:val="none" w:sz="0" w:space="0" w:color="auto"/>
                <w:bottom w:val="none" w:sz="0" w:space="0" w:color="auto"/>
                <w:right w:val="none" w:sz="0" w:space="0" w:color="auto"/>
              </w:divBdr>
            </w:div>
            <w:div w:id="2054619612">
              <w:marLeft w:val="0"/>
              <w:marRight w:val="0"/>
              <w:marTop w:val="0"/>
              <w:marBottom w:val="0"/>
              <w:divBdr>
                <w:top w:val="none" w:sz="0" w:space="0" w:color="auto"/>
                <w:left w:val="none" w:sz="0" w:space="0" w:color="auto"/>
                <w:bottom w:val="none" w:sz="0" w:space="0" w:color="auto"/>
                <w:right w:val="none" w:sz="0" w:space="0" w:color="auto"/>
              </w:divBdr>
            </w:div>
            <w:div w:id="1529103764">
              <w:marLeft w:val="0"/>
              <w:marRight w:val="0"/>
              <w:marTop w:val="0"/>
              <w:marBottom w:val="0"/>
              <w:divBdr>
                <w:top w:val="none" w:sz="0" w:space="0" w:color="auto"/>
                <w:left w:val="none" w:sz="0" w:space="0" w:color="auto"/>
                <w:bottom w:val="none" w:sz="0" w:space="0" w:color="auto"/>
                <w:right w:val="none" w:sz="0" w:space="0" w:color="auto"/>
              </w:divBdr>
            </w:div>
            <w:div w:id="573664442">
              <w:marLeft w:val="0"/>
              <w:marRight w:val="0"/>
              <w:marTop w:val="0"/>
              <w:marBottom w:val="0"/>
              <w:divBdr>
                <w:top w:val="none" w:sz="0" w:space="0" w:color="auto"/>
                <w:left w:val="none" w:sz="0" w:space="0" w:color="auto"/>
                <w:bottom w:val="none" w:sz="0" w:space="0" w:color="auto"/>
                <w:right w:val="none" w:sz="0" w:space="0" w:color="auto"/>
              </w:divBdr>
            </w:div>
            <w:div w:id="1628780959">
              <w:marLeft w:val="0"/>
              <w:marRight w:val="0"/>
              <w:marTop w:val="0"/>
              <w:marBottom w:val="0"/>
              <w:divBdr>
                <w:top w:val="none" w:sz="0" w:space="0" w:color="auto"/>
                <w:left w:val="none" w:sz="0" w:space="0" w:color="auto"/>
                <w:bottom w:val="none" w:sz="0" w:space="0" w:color="auto"/>
                <w:right w:val="none" w:sz="0" w:space="0" w:color="auto"/>
              </w:divBdr>
            </w:div>
            <w:div w:id="1842503961">
              <w:marLeft w:val="0"/>
              <w:marRight w:val="0"/>
              <w:marTop w:val="0"/>
              <w:marBottom w:val="0"/>
              <w:divBdr>
                <w:top w:val="none" w:sz="0" w:space="0" w:color="auto"/>
                <w:left w:val="none" w:sz="0" w:space="0" w:color="auto"/>
                <w:bottom w:val="none" w:sz="0" w:space="0" w:color="auto"/>
                <w:right w:val="none" w:sz="0" w:space="0" w:color="auto"/>
              </w:divBdr>
            </w:div>
            <w:div w:id="2065250748">
              <w:marLeft w:val="0"/>
              <w:marRight w:val="0"/>
              <w:marTop w:val="0"/>
              <w:marBottom w:val="0"/>
              <w:divBdr>
                <w:top w:val="none" w:sz="0" w:space="0" w:color="auto"/>
                <w:left w:val="none" w:sz="0" w:space="0" w:color="auto"/>
                <w:bottom w:val="none" w:sz="0" w:space="0" w:color="auto"/>
                <w:right w:val="none" w:sz="0" w:space="0" w:color="auto"/>
              </w:divBdr>
            </w:div>
            <w:div w:id="1983920042">
              <w:marLeft w:val="0"/>
              <w:marRight w:val="0"/>
              <w:marTop w:val="0"/>
              <w:marBottom w:val="0"/>
              <w:divBdr>
                <w:top w:val="none" w:sz="0" w:space="0" w:color="auto"/>
                <w:left w:val="none" w:sz="0" w:space="0" w:color="auto"/>
                <w:bottom w:val="none" w:sz="0" w:space="0" w:color="auto"/>
                <w:right w:val="none" w:sz="0" w:space="0" w:color="auto"/>
              </w:divBdr>
            </w:div>
            <w:div w:id="1539466119">
              <w:marLeft w:val="0"/>
              <w:marRight w:val="0"/>
              <w:marTop w:val="0"/>
              <w:marBottom w:val="0"/>
              <w:divBdr>
                <w:top w:val="none" w:sz="0" w:space="0" w:color="auto"/>
                <w:left w:val="none" w:sz="0" w:space="0" w:color="auto"/>
                <w:bottom w:val="none" w:sz="0" w:space="0" w:color="auto"/>
                <w:right w:val="none" w:sz="0" w:space="0" w:color="auto"/>
              </w:divBdr>
            </w:div>
            <w:div w:id="211239322">
              <w:marLeft w:val="0"/>
              <w:marRight w:val="0"/>
              <w:marTop w:val="0"/>
              <w:marBottom w:val="0"/>
              <w:divBdr>
                <w:top w:val="none" w:sz="0" w:space="0" w:color="auto"/>
                <w:left w:val="none" w:sz="0" w:space="0" w:color="auto"/>
                <w:bottom w:val="none" w:sz="0" w:space="0" w:color="auto"/>
                <w:right w:val="none" w:sz="0" w:space="0" w:color="auto"/>
              </w:divBdr>
            </w:div>
            <w:div w:id="1782187892">
              <w:marLeft w:val="0"/>
              <w:marRight w:val="0"/>
              <w:marTop w:val="0"/>
              <w:marBottom w:val="0"/>
              <w:divBdr>
                <w:top w:val="none" w:sz="0" w:space="0" w:color="auto"/>
                <w:left w:val="none" w:sz="0" w:space="0" w:color="auto"/>
                <w:bottom w:val="none" w:sz="0" w:space="0" w:color="auto"/>
                <w:right w:val="none" w:sz="0" w:space="0" w:color="auto"/>
              </w:divBdr>
            </w:div>
            <w:div w:id="1946766677">
              <w:marLeft w:val="0"/>
              <w:marRight w:val="0"/>
              <w:marTop w:val="0"/>
              <w:marBottom w:val="0"/>
              <w:divBdr>
                <w:top w:val="none" w:sz="0" w:space="0" w:color="auto"/>
                <w:left w:val="none" w:sz="0" w:space="0" w:color="auto"/>
                <w:bottom w:val="none" w:sz="0" w:space="0" w:color="auto"/>
                <w:right w:val="none" w:sz="0" w:space="0" w:color="auto"/>
              </w:divBdr>
            </w:div>
            <w:div w:id="1816606348">
              <w:marLeft w:val="0"/>
              <w:marRight w:val="0"/>
              <w:marTop w:val="0"/>
              <w:marBottom w:val="0"/>
              <w:divBdr>
                <w:top w:val="none" w:sz="0" w:space="0" w:color="auto"/>
                <w:left w:val="none" w:sz="0" w:space="0" w:color="auto"/>
                <w:bottom w:val="none" w:sz="0" w:space="0" w:color="auto"/>
                <w:right w:val="none" w:sz="0" w:space="0" w:color="auto"/>
              </w:divBdr>
            </w:div>
            <w:div w:id="248390693">
              <w:marLeft w:val="0"/>
              <w:marRight w:val="0"/>
              <w:marTop w:val="0"/>
              <w:marBottom w:val="0"/>
              <w:divBdr>
                <w:top w:val="none" w:sz="0" w:space="0" w:color="auto"/>
                <w:left w:val="none" w:sz="0" w:space="0" w:color="auto"/>
                <w:bottom w:val="none" w:sz="0" w:space="0" w:color="auto"/>
                <w:right w:val="none" w:sz="0" w:space="0" w:color="auto"/>
              </w:divBdr>
            </w:div>
            <w:div w:id="2131896627">
              <w:marLeft w:val="0"/>
              <w:marRight w:val="0"/>
              <w:marTop w:val="0"/>
              <w:marBottom w:val="0"/>
              <w:divBdr>
                <w:top w:val="none" w:sz="0" w:space="0" w:color="auto"/>
                <w:left w:val="none" w:sz="0" w:space="0" w:color="auto"/>
                <w:bottom w:val="none" w:sz="0" w:space="0" w:color="auto"/>
                <w:right w:val="none" w:sz="0" w:space="0" w:color="auto"/>
              </w:divBdr>
            </w:div>
            <w:div w:id="1816020741">
              <w:marLeft w:val="0"/>
              <w:marRight w:val="0"/>
              <w:marTop w:val="0"/>
              <w:marBottom w:val="0"/>
              <w:divBdr>
                <w:top w:val="none" w:sz="0" w:space="0" w:color="auto"/>
                <w:left w:val="none" w:sz="0" w:space="0" w:color="auto"/>
                <w:bottom w:val="none" w:sz="0" w:space="0" w:color="auto"/>
                <w:right w:val="none" w:sz="0" w:space="0" w:color="auto"/>
              </w:divBdr>
            </w:div>
            <w:div w:id="263343358">
              <w:marLeft w:val="0"/>
              <w:marRight w:val="0"/>
              <w:marTop w:val="0"/>
              <w:marBottom w:val="0"/>
              <w:divBdr>
                <w:top w:val="none" w:sz="0" w:space="0" w:color="auto"/>
                <w:left w:val="none" w:sz="0" w:space="0" w:color="auto"/>
                <w:bottom w:val="none" w:sz="0" w:space="0" w:color="auto"/>
                <w:right w:val="none" w:sz="0" w:space="0" w:color="auto"/>
              </w:divBdr>
            </w:div>
            <w:div w:id="1195114873">
              <w:marLeft w:val="0"/>
              <w:marRight w:val="0"/>
              <w:marTop w:val="0"/>
              <w:marBottom w:val="0"/>
              <w:divBdr>
                <w:top w:val="none" w:sz="0" w:space="0" w:color="auto"/>
                <w:left w:val="none" w:sz="0" w:space="0" w:color="auto"/>
                <w:bottom w:val="none" w:sz="0" w:space="0" w:color="auto"/>
                <w:right w:val="none" w:sz="0" w:space="0" w:color="auto"/>
              </w:divBdr>
            </w:div>
            <w:div w:id="1689285702">
              <w:marLeft w:val="0"/>
              <w:marRight w:val="0"/>
              <w:marTop w:val="0"/>
              <w:marBottom w:val="0"/>
              <w:divBdr>
                <w:top w:val="none" w:sz="0" w:space="0" w:color="auto"/>
                <w:left w:val="none" w:sz="0" w:space="0" w:color="auto"/>
                <w:bottom w:val="none" w:sz="0" w:space="0" w:color="auto"/>
                <w:right w:val="none" w:sz="0" w:space="0" w:color="auto"/>
              </w:divBdr>
            </w:div>
            <w:div w:id="787965680">
              <w:marLeft w:val="0"/>
              <w:marRight w:val="0"/>
              <w:marTop w:val="0"/>
              <w:marBottom w:val="0"/>
              <w:divBdr>
                <w:top w:val="none" w:sz="0" w:space="0" w:color="auto"/>
                <w:left w:val="none" w:sz="0" w:space="0" w:color="auto"/>
                <w:bottom w:val="none" w:sz="0" w:space="0" w:color="auto"/>
                <w:right w:val="none" w:sz="0" w:space="0" w:color="auto"/>
              </w:divBdr>
            </w:div>
            <w:div w:id="2053113445">
              <w:marLeft w:val="0"/>
              <w:marRight w:val="0"/>
              <w:marTop w:val="0"/>
              <w:marBottom w:val="0"/>
              <w:divBdr>
                <w:top w:val="none" w:sz="0" w:space="0" w:color="auto"/>
                <w:left w:val="none" w:sz="0" w:space="0" w:color="auto"/>
                <w:bottom w:val="none" w:sz="0" w:space="0" w:color="auto"/>
                <w:right w:val="none" w:sz="0" w:space="0" w:color="auto"/>
              </w:divBdr>
            </w:div>
            <w:div w:id="1388186446">
              <w:marLeft w:val="0"/>
              <w:marRight w:val="0"/>
              <w:marTop w:val="0"/>
              <w:marBottom w:val="0"/>
              <w:divBdr>
                <w:top w:val="none" w:sz="0" w:space="0" w:color="auto"/>
                <w:left w:val="none" w:sz="0" w:space="0" w:color="auto"/>
                <w:bottom w:val="none" w:sz="0" w:space="0" w:color="auto"/>
                <w:right w:val="none" w:sz="0" w:space="0" w:color="auto"/>
              </w:divBdr>
            </w:div>
            <w:div w:id="274824498">
              <w:marLeft w:val="0"/>
              <w:marRight w:val="0"/>
              <w:marTop w:val="0"/>
              <w:marBottom w:val="0"/>
              <w:divBdr>
                <w:top w:val="none" w:sz="0" w:space="0" w:color="auto"/>
                <w:left w:val="none" w:sz="0" w:space="0" w:color="auto"/>
                <w:bottom w:val="none" w:sz="0" w:space="0" w:color="auto"/>
                <w:right w:val="none" w:sz="0" w:space="0" w:color="auto"/>
              </w:divBdr>
            </w:div>
            <w:div w:id="381945294">
              <w:marLeft w:val="0"/>
              <w:marRight w:val="0"/>
              <w:marTop w:val="0"/>
              <w:marBottom w:val="0"/>
              <w:divBdr>
                <w:top w:val="none" w:sz="0" w:space="0" w:color="auto"/>
                <w:left w:val="none" w:sz="0" w:space="0" w:color="auto"/>
                <w:bottom w:val="none" w:sz="0" w:space="0" w:color="auto"/>
                <w:right w:val="none" w:sz="0" w:space="0" w:color="auto"/>
              </w:divBdr>
            </w:div>
            <w:div w:id="1396322188">
              <w:marLeft w:val="0"/>
              <w:marRight w:val="0"/>
              <w:marTop w:val="0"/>
              <w:marBottom w:val="0"/>
              <w:divBdr>
                <w:top w:val="none" w:sz="0" w:space="0" w:color="auto"/>
                <w:left w:val="none" w:sz="0" w:space="0" w:color="auto"/>
                <w:bottom w:val="none" w:sz="0" w:space="0" w:color="auto"/>
                <w:right w:val="none" w:sz="0" w:space="0" w:color="auto"/>
              </w:divBdr>
            </w:div>
            <w:div w:id="141195006">
              <w:marLeft w:val="0"/>
              <w:marRight w:val="0"/>
              <w:marTop w:val="0"/>
              <w:marBottom w:val="0"/>
              <w:divBdr>
                <w:top w:val="none" w:sz="0" w:space="0" w:color="auto"/>
                <w:left w:val="none" w:sz="0" w:space="0" w:color="auto"/>
                <w:bottom w:val="none" w:sz="0" w:space="0" w:color="auto"/>
                <w:right w:val="none" w:sz="0" w:space="0" w:color="auto"/>
              </w:divBdr>
            </w:div>
            <w:div w:id="1133138753">
              <w:marLeft w:val="0"/>
              <w:marRight w:val="0"/>
              <w:marTop w:val="0"/>
              <w:marBottom w:val="0"/>
              <w:divBdr>
                <w:top w:val="none" w:sz="0" w:space="0" w:color="auto"/>
                <w:left w:val="none" w:sz="0" w:space="0" w:color="auto"/>
                <w:bottom w:val="none" w:sz="0" w:space="0" w:color="auto"/>
                <w:right w:val="none" w:sz="0" w:space="0" w:color="auto"/>
              </w:divBdr>
            </w:div>
            <w:div w:id="624506867">
              <w:marLeft w:val="0"/>
              <w:marRight w:val="0"/>
              <w:marTop w:val="0"/>
              <w:marBottom w:val="0"/>
              <w:divBdr>
                <w:top w:val="none" w:sz="0" w:space="0" w:color="auto"/>
                <w:left w:val="none" w:sz="0" w:space="0" w:color="auto"/>
                <w:bottom w:val="none" w:sz="0" w:space="0" w:color="auto"/>
                <w:right w:val="none" w:sz="0" w:space="0" w:color="auto"/>
              </w:divBdr>
            </w:div>
            <w:div w:id="702100832">
              <w:marLeft w:val="0"/>
              <w:marRight w:val="0"/>
              <w:marTop w:val="0"/>
              <w:marBottom w:val="0"/>
              <w:divBdr>
                <w:top w:val="none" w:sz="0" w:space="0" w:color="auto"/>
                <w:left w:val="none" w:sz="0" w:space="0" w:color="auto"/>
                <w:bottom w:val="none" w:sz="0" w:space="0" w:color="auto"/>
                <w:right w:val="none" w:sz="0" w:space="0" w:color="auto"/>
              </w:divBdr>
            </w:div>
            <w:div w:id="463930012">
              <w:marLeft w:val="0"/>
              <w:marRight w:val="0"/>
              <w:marTop w:val="0"/>
              <w:marBottom w:val="0"/>
              <w:divBdr>
                <w:top w:val="none" w:sz="0" w:space="0" w:color="auto"/>
                <w:left w:val="none" w:sz="0" w:space="0" w:color="auto"/>
                <w:bottom w:val="none" w:sz="0" w:space="0" w:color="auto"/>
                <w:right w:val="none" w:sz="0" w:space="0" w:color="auto"/>
              </w:divBdr>
            </w:div>
            <w:div w:id="677972179">
              <w:marLeft w:val="0"/>
              <w:marRight w:val="0"/>
              <w:marTop w:val="0"/>
              <w:marBottom w:val="0"/>
              <w:divBdr>
                <w:top w:val="none" w:sz="0" w:space="0" w:color="auto"/>
                <w:left w:val="none" w:sz="0" w:space="0" w:color="auto"/>
                <w:bottom w:val="none" w:sz="0" w:space="0" w:color="auto"/>
                <w:right w:val="none" w:sz="0" w:space="0" w:color="auto"/>
              </w:divBdr>
            </w:div>
            <w:div w:id="1886717786">
              <w:marLeft w:val="0"/>
              <w:marRight w:val="0"/>
              <w:marTop w:val="0"/>
              <w:marBottom w:val="0"/>
              <w:divBdr>
                <w:top w:val="none" w:sz="0" w:space="0" w:color="auto"/>
                <w:left w:val="none" w:sz="0" w:space="0" w:color="auto"/>
                <w:bottom w:val="none" w:sz="0" w:space="0" w:color="auto"/>
                <w:right w:val="none" w:sz="0" w:space="0" w:color="auto"/>
              </w:divBdr>
            </w:div>
            <w:div w:id="398674307">
              <w:marLeft w:val="0"/>
              <w:marRight w:val="0"/>
              <w:marTop w:val="0"/>
              <w:marBottom w:val="0"/>
              <w:divBdr>
                <w:top w:val="none" w:sz="0" w:space="0" w:color="auto"/>
                <w:left w:val="none" w:sz="0" w:space="0" w:color="auto"/>
                <w:bottom w:val="none" w:sz="0" w:space="0" w:color="auto"/>
                <w:right w:val="none" w:sz="0" w:space="0" w:color="auto"/>
              </w:divBdr>
            </w:div>
            <w:div w:id="304893147">
              <w:marLeft w:val="0"/>
              <w:marRight w:val="0"/>
              <w:marTop w:val="0"/>
              <w:marBottom w:val="0"/>
              <w:divBdr>
                <w:top w:val="none" w:sz="0" w:space="0" w:color="auto"/>
                <w:left w:val="none" w:sz="0" w:space="0" w:color="auto"/>
                <w:bottom w:val="none" w:sz="0" w:space="0" w:color="auto"/>
                <w:right w:val="none" w:sz="0" w:space="0" w:color="auto"/>
              </w:divBdr>
            </w:div>
            <w:div w:id="707490755">
              <w:marLeft w:val="0"/>
              <w:marRight w:val="0"/>
              <w:marTop w:val="0"/>
              <w:marBottom w:val="0"/>
              <w:divBdr>
                <w:top w:val="none" w:sz="0" w:space="0" w:color="auto"/>
                <w:left w:val="none" w:sz="0" w:space="0" w:color="auto"/>
                <w:bottom w:val="none" w:sz="0" w:space="0" w:color="auto"/>
                <w:right w:val="none" w:sz="0" w:space="0" w:color="auto"/>
              </w:divBdr>
            </w:div>
            <w:div w:id="7097028">
              <w:marLeft w:val="0"/>
              <w:marRight w:val="0"/>
              <w:marTop w:val="0"/>
              <w:marBottom w:val="0"/>
              <w:divBdr>
                <w:top w:val="none" w:sz="0" w:space="0" w:color="auto"/>
                <w:left w:val="none" w:sz="0" w:space="0" w:color="auto"/>
                <w:bottom w:val="none" w:sz="0" w:space="0" w:color="auto"/>
                <w:right w:val="none" w:sz="0" w:space="0" w:color="auto"/>
              </w:divBdr>
            </w:div>
            <w:div w:id="1812091329">
              <w:marLeft w:val="0"/>
              <w:marRight w:val="0"/>
              <w:marTop w:val="0"/>
              <w:marBottom w:val="0"/>
              <w:divBdr>
                <w:top w:val="none" w:sz="0" w:space="0" w:color="auto"/>
                <w:left w:val="none" w:sz="0" w:space="0" w:color="auto"/>
                <w:bottom w:val="none" w:sz="0" w:space="0" w:color="auto"/>
                <w:right w:val="none" w:sz="0" w:space="0" w:color="auto"/>
              </w:divBdr>
            </w:div>
            <w:div w:id="431627358">
              <w:marLeft w:val="0"/>
              <w:marRight w:val="0"/>
              <w:marTop w:val="0"/>
              <w:marBottom w:val="0"/>
              <w:divBdr>
                <w:top w:val="none" w:sz="0" w:space="0" w:color="auto"/>
                <w:left w:val="none" w:sz="0" w:space="0" w:color="auto"/>
                <w:bottom w:val="none" w:sz="0" w:space="0" w:color="auto"/>
                <w:right w:val="none" w:sz="0" w:space="0" w:color="auto"/>
              </w:divBdr>
            </w:div>
            <w:div w:id="1849784973">
              <w:marLeft w:val="0"/>
              <w:marRight w:val="0"/>
              <w:marTop w:val="0"/>
              <w:marBottom w:val="0"/>
              <w:divBdr>
                <w:top w:val="none" w:sz="0" w:space="0" w:color="auto"/>
                <w:left w:val="none" w:sz="0" w:space="0" w:color="auto"/>
                <w:bottom w:val="none" w:sz="0" w:space="0" w:color="auto"/>
                <w:right w:val="none" w:sz="0" w:space="0" w:color="auto"/>
              </w:divBdr>
            </w:div>
            <w:div w:id="1471481487">
              <w:marLeft w:val="0"/>
              <w:marRight w:val="0"/>
              <w:marTop w:val="0"/>
              <w:marBottom w:val="0"/>
              <w:divBdr>
                <w:top w:val="none" w:sz="0" w:space="0" w:color="auto"/>
                <w:left w:val="none" w:sz="0" w:space="0" w:color="auto"/>
                <w:bottom w:val="none" w:sz="0" w:space="0" w:color="auto"/>
                <w:right w:val="none" w:sz="0" w:space="0" w:color="auto"/>
              </w:divBdr>
            </w:div>
            <w:div w:id="333070545">
              <w:marLeft w:val="0"/>
              <w:marRight w:val="0"/>
              <w:marTop w:val="0"/>
              <w:marBottom w:val="0"/>
              <w:divBdr>
                <w:top w:val="none" w:sz="0" w:space="0" w:color="auto"/>
                <w:left w:val="none" w:sz="0" w:space="0" w:color="auto"/>
                <w:bottom w:val="none" w:sz="0" w:space="0" w:color="auto"/>
                <w:right w:val="none" w:sz="0" w:space="0" w:color="auto"/>
              </w:divBdr>
            </w:div>
            <w:div w:id="1635522877">
              <w:marLeft w:val="0"/>
              <w:marRight w:val="0"/>
              <w:marTop w:val="0"/>
              <w:marBottom w:val="0"/>
              <w:divBdr>
                <w:top w:val="none" w:sz="0" w:space="0" w:color="auto"/>
                <w:left w:val="none" w:sz="0" w:space="0" w:color="auto"/>
                <w:bottom w:val="none" w:sz="0" w:space="0" w:color="auto"/>
                <w:right w:val="none" w:sz="0" w:space="0" w:color="auto"/>
              </w:divBdr>
            </w:div>
            <w:div w:id="1121802918">
              <w:marLeft w:val="0"/>
              <w:marRight w:val="0"/>
              <w:marTop w:val="0"/>
              <w:marBottom w:val="0"/>
              <w:divBdr>
                <w:top w:val="none" w:sz="0" w:space="0" w:color="auto"/>
                <w:left w:val="none" w:sz="0" w:space="0" w:color="auto"/>
                <w:bottom w:val="none" w:sz="0" w:space="0" w:color="auto"/>
                <w:right w:val="none" w:sz="0" w:space="0" w:color="auto"/>
              </w:divBdr>
            </w:div>
            <w:div w:id="484049620">
              <w:marLeft w:val="0"/>
              <w:marRight w:val="0"/>
              <w:marTop w:val="0"/>
              <w:marBottom w:val="0"/>
              <w:divBdr>
                <w:top w:val="none" w:sz="0" w:space="0" w:color="auto"/>
                <w:left w:val="none" w:sz="0" w:space="0" w:color="auto"/>
                <w:bottom w:val="none" w:sz="0" w:space="0" w:color="auto"/>
                <w:right w:val="none" w:sz="0" w:space="0" w:color="auto"/>
              </w:divBdr>
            </w:div>
            <w:div w:id="363210435">
              <w:marLeft w:val="0"/>
              <w:marRight w:val="0"/>
              <w:marTop w:val="0"/>
              <w:marBottom w:val="0"/>
              <w:divBdr>
                <w:top w:val="none" w:sz="0" w:space="0" w:color="auto"/>
                <w:left w:val="none" w:sz="0" w:space="0" w:color="auto"/>
                <w:bottom w:val="none" w:sz="0" w:space="0" w:color="auto"/>
                <w:right w:val="none" w:sz="0" w:space="0" w:color="auto"/>
              </w:divBdr>
            </w:div>
            <w:div w:id="1673947270">
              <w:marLeft w:val="0"/>
              <w:marRight w:val="0"/>
              <w:marTop w:val="0"/>
              <w:marBottom w:val="0"/>
              <w:divBdr>
                <w:top w:val="none" w:sz="0" w:space="0" w:color="auto"/>
                <w:left w:val="none" w:sz="0" w:space="0" w:color="auto"/>
                <w:bottom w:val="none" w:sz="0" w:space="0" w:color="auto"/>
                <w:right w:val="none" w:sz="0" w:space="0" w:color="auto"/>
              </w:divBdr>
            </w:div>
            <w:div w:id="228149284">
              <w:marLeft w:val="0"/>
              <w:marRight w:val="0"/>
              <w:marTop w:val="0"/>
              <w:marBottom w:val="0"/>
              <w:divBdr>
                <w:top w:val="none" w:sz="0" w:space="0" w:color="auto"/>
                <w:left w:val="none" w:sz="0" w:space="0" w:color="auto"/>
                <w:bottom w:val="none" w:sz="0" w:space="0" w:color="auto"/>
                <w:right w:val="none" w:sz="0" w:space="0" w:color="auto"/>
              </w:divBdr>
            </w:div>
            <w:div w:id="1635676014">
              <w:marLeft w:val="0"/>
              <w:marRight w:val="0"/>
              <w:marTop w:val="0"/>
              <w:marBottom w:val="0"/>
              <w:divBdr>
                <w:top w:val="none" w:sz="0" w:space="0" w:color="auto"/>
                <w:left w:val="none" w:sz="0" w:space="0" w:color="auto"/>
                <w:bottom w:val="none" w:sz="0" w:space="0" w:color="auto"/>
                <w:right w:val="none" w:sz="0" w:space="0" w:color="auto"/>
              </w:divBdr>
            </w:div>
            <w:div w:id="532959905">
              <w:marLeft w:val="0"/>
              <w:marRight w:val="0"/>
              <w:marTop w:val="0"/>
              <w:marBottom w:val="0"/>
              <w:divBdr>
                <w:top w:val="none" w:sz="0" w:space="0" w:color="auto"/>
                <w:left w:val="none" w:sz="0" w:space="0" w:color="auto"/>
                <w:bottom w:val="none" w:sz="0" w:space="0" w:color="auto"/>
                <w:right w:val="none" w:sz="0" w:space="0" w:color="auto"/>
              </w:divBdr>
            </w:div>
            <w:div w:id="80027116">
              <w:marLeft w:val="0"/>
              <w:marRight w:val="0"/>
              <w:marTop w:val="0"/>
              <w:marBottom w:val="0"/>
              <w:divBdr>
                <w:top w:val="none" w:sz="0" w:space="0" w:color="auto"/>
                <w:left w:val="none" w:sz="0" w:space="0" w:color="auto"/>
                <w:bottom w:val="none" w:sz="0" w:space="0" w:color="auto"/>
                <w:right w:val="none" w:sz="0" w:space="0" w:color="auto"/>
              </w:divBdr>
            </w:div>
            <w:div w:id="1591742192">
              <w:marLeft w:val="0"/>
              <w:marRight w:val="0"/>
              <w:marTop w:val="0"/>
              <w:marBottom w:val="0"/>
              <w:divBdr>
                <w:top w:val="none" w:sz="0" w:space="0" w:color="auto"/>
                <w:left w:val="none" w:sz="0" w:space="0" w:color="auto"/>
                <w:bottom w:val="none" w:sz="0" w:space="0" w:color="auto"/>
                <w:right w:val="none" w:sz="0" w:space="0" w:color="auto"/>
              </w:divBdr>
            </w:div>
            <w:div w:id="248734785">
              <w:marLeft w:val="0"/>
              <w:marRight w:val="0"/>
              <w:marTop w:val="0"/>
              <w:marBottom w:val="0"/>
              <w:divBdr>
                <w:top w:val="none" w:sz="0" w:space="0" w:color="auto"/>
                <w:left w:val="none" w:sz="0" w:space="0" w:color="auto"/>
                <w:bottom w:val="none" w:sz="0" w:space="0" w:color="auto"/>
                <w:right w:val="none" w:sz="0" w:space="0" w:color="auto"/>
              </w:divBdr>
            </w:div>
            <w:div w:id="665980407">
              <w:marLeft w:val="0"/>
              <w:marRight w:val="0"/>
              <w:marTop w:val="0"/>
              <w:marBottom w:val="0"/>
              <w:divBdr>
                <w:top w:val="none" w:sz="0" w:space="0" w:color="auto"/>
                <w:left w:val="none" w:sz="0" w:space="0" w:color="auto"/>
                <w:bottom w:val="none" w:sz="0" w:space="0" w:color="auto"/>
                <w:right w:val="none" w:sz="0" w:space="0" w:color="auto"/>
              </w:divBdr>
            </w:div>
            <w:div w:id="1127745203">
              <w:marLeft w:val="0"/>
              <w:marRight w:val="0"/>
              <w:marTop w:val="0"/>
              <w:marBottom w:val="0"/>
              <w:divBdr>
                <w:top w:val="none" w:sz="0" w:space="0" w:color="auto"/>
                <w:left w:val="none" w:sz="0" w:space="0" w:color="auto"/>
                <w:bottom w:val="none" w:sz="0" w:space="0" w:color="auto"/>
                <w:right w:val="none" w:sz="0" w:space="0" w:color="auto"/>
              </w:divBdr>
            </w:div>
            <w:div w:id="772212248">
              <w:marLeft w:val="0"/>
              <w:marRight w:val="0"/>
              <w:marTop w:val="0"/>
              <w:marBottom w:val="0"/>
              <w:divBdr>
                <w:top w:val="none" w:sz="0" w:space="0" w:color="auto"/>
                <w:left w:val="none" w:sz="0" w:space="0" w:color="auto"/>
                <w:bottom w:val="none" w:sz="0" w:space="0" w:color="auto"/>
                <w:right w:val="none" w:sz="0" w:space="0" w:color="auto"/>
              </w:divBdr>
            </w:div>
            <w:div w:id="1494296005">
              <w:marLeft w:val="0"/>
              <w:marRight w:val="0"/>
              <w:marTop w:val="0"/>
              <w:marBottom w:val="0"/>
              <w:divBdr>
                <w:top w:val="none" w:sz="0" w:space="0" w:color="auto"/>
                <w:left w:val="none" w:sz="0" w:space="0" w:color="auto"/>
                <w:bottom w:val="none" w:sz="0" w:space="0" w:color="auto"/>
                <w:right w:val="none" w:sz="0" w:space="0" w:color="auto"/>
              </w:divBdr>
            </w:div>
            <w:div w:id="64112758">
              <w:marLeft w:val="0"/>
              <w:marRight w:val="0"/>
              <w:marTop w:val="0"/>
              <w:marBottom w:val="0"/>
              <w:divBdr>
                <w:top w:val="none" w:sz="0" w:space="0" w:color="auto"/>
                <w:left w:val="none" w:sz="0" w:space="0" w:color="auto"/>
                <w:bottom w:val="none" w:sz="0" w:space="0" w:color="auto"/>
                <w:right w:val="none" w:sz="0" w:space="0" w:color="auto"/>
              </w:divBdr>
            </w:div>
            <w:div w:id="1560942608">
              <w:marLeft w:val="0"/>
              <w:marRight w:val="0"/>
              <w:marTop w:val="0"/>
              <w:marBottom w:val="0"/>
              <w:divBdr>
                <w:top w:val="none" w:sz="0" w:space="0" w:color="auto"/>
                <w:left w:val="none" w:sz="0" w:space="0" w:color="auto"/>
                <w:bottom w:val="none" w:sz="0" w:space="0" w:color="auto"/>
                <w:right w:val="none" w:sz="0" w:space="0" w:color="auto"/>
              </w:divBdr>
            </w:div>
            <w:div w:id="1088774598">
              <w:marLeft w:val="0"/>
              <w:marRight w:val="0"/>
              <w:marTop w:val="0"/>
              <w:marBottom w:val="0"/>
              <w:divBdr>
                <w:top w:val="none" w:sz="0" w:space="0" w:color="auto"/>
                <w:left w:val="none" w:sz="0" w:space="0" w:color="auto"/>
                <w:bottom w:val="none" w:sz="0" w:space="0" w:color="auto"/>
                <w:right w:val="none" w:sz="0" w:space="0" w:color="auto"/>
              </w:divBdr>
            </w:div>
            <w:div w:id="959914473">
              <w:marLeft w:val="0"/>
              <w:marRight w:val="0"/>
              <w:marTop w:val="0"/>
              <w:marBottom w:val="0"/>
              <w:divBdr>
                <w:top w:val="none" w:sz="0" w:space="0" w:color="auto"/>
                <w:left w:val="none" w:sz="0" w:space="0" w:color="auto"/>
                <w:bottom w:val="none" w:sz="0" w:space="0" w:color="auto"/>
                <w:right w:val="none" w:sz="0" w:space="0" w:color="auto"/>
              </w:divBdr>
            </w:div>
            <w:div w:id="483358050">
              <w:marLeft w:val="0"/>
              <w:marRight w:val="0"/>
              <w:marTop w:val="0"/>
              <w:marBottom w:val="0"/>
              <w:divBdr>
                <w:top w:val="none" w:sz="0" w:space="0" w:color="auto"/>
                <w:left w:val="none" w:sz="0" w:space="0" w:color="auto"/>
                <w:bottom w:val="none" w:sz="0" w:space="0" w:color="auto"/>
                <w:right w:val="none" w:sz="0" w:space="0" w:color="auto"/>
              </w:divBdr>
            </w:div>
            <w:div w:id="1898978885">
              <w:marLeft w:val="0"/>
              <w:marRight w:val="0"/>
              <w:marTop w:val="0"/>
              <w:marBottom w:val="0"/>
              <w:divBdr>
                <w:top w:val="none" w:sz="0" w:space="0" w:color="auto"/>
                <w:left w:val="none" w:sz="0" w:space="0" w:color="auto"/>
                <w:bottom w:val="none" w:sz="0" w:space="0" w:color="auto"/>
                <w:right w:val="none" w:sz="0" w:space="0" w:color="auto"/>
              </w:divBdr>
            </w:div>
            <w:div w:id="1601597169">
              <w:marLeft w:val="0"/>
              <w:marRight w:val="0"/>
              <w:marTop w:val="0"/>
              <w:marBottom w:val="0"/>
              <w:divBdr>
                <w:top w:val="none" w:sz="0" w:space="0" w:color="auto"/>
                <w:left w:val="none" w:sz="0" w:space="0" w:color="auto"/>
                <w:bottom w:val="none" w:sz="0" w:space="0" w:color="auto"/>
                <w:right w:val="none" w:sz="0" w:space="0" w:color="auto"/>
              </w:divBdr>
            </w:div>
            <w:div w:id="1163814558">
              <w:marLeft w:val="0"/>
              <w:marRight w:val="0"/>
              <w:marTop w:val="0"/>
              <w:marBottom w:val="0"/>
              <w:divBdr>
                <w:top w:val="none" w:sz="0" w:space="0" w:color="auto"/>
                <w:left w:val="none" w:sz="0" w:space="0" w:color="auto"/>
                <w:bottom w:val="none" w:sz="0" w:space="0" w:color="auto"/>
                <w:right w:val="none" w:sz="0" w:space="0" w:color="auto"/>
              </w:divBdr>
            </w:div>
            <w:div w:id="1047527448">
              <w:marLeft w:val="0"/>
              <w:marRight w:val="0"/>
              <w:marTop w:val="0"/>
              <w:marBottom w:val="0"/>
              <w:divBdr>
                <w:top w:val="none" w:sz="0" w:space="0" w:color="auto"/>
                <w:left w:val="none" w:sz="0" w:space="0" w:color="auto"/>
                <w:bottom w:val="none" w:sz="0" w:space="0" w:color="auto"/>
                <w:right w:val="none" w:sz="0" w:space="0" w:color="auto"/>
              </w:divBdr>
            </w:div>
            <w:div w:id="547105255">
              <w:marLeft w:val="0"/>
              <w:marRight w:val="0"/>
              <w:marTop w:val="0"/>
              <w:marBottom w:val="0"/>
              <w:divBdr>
                <w:top w:val="none" w:sz="0" w:space="0" w:color="auto"/>
                <w:left w:val="none" w:sz="0" w:space="0" w:color="auto"/>
                <w:bottom w:val="none" w:sz="0" w:space="0" w:color="auto"/>
                <w:right w:val="none" w:sz="0" w:space="0" w:color="auto"/>
              </w:divBdr>
            </w:div>
            <w:div w:id="1605071720">
              <w:marLeft w:val="0"/>
              <w:marRight w:val="0"/>
              <w:marTop w:val="0"/>
              <w:marBottom w:val="0"/>
              <w:divBdr>
                <w:top w:val="none" w:sz="0" w:space="0" w:color="auto"/>
                <w:left w:val="none" w:sz="0" w:space="0" w:color="auto"/>
                <w:bottom w:val="none" w:sz="0" w:space="0" w:color="auto"/>
                <w:right w:val="none" w:sz="0" w:space="0" w:color="auto"/>
              </w:divBdr>
            </w:div>
            <w:div w:id="1411004318">
              <w:marLeft w:val="0"/>
              <w:marRight w:val="0"/>
              <w:marTop w:val="0"/>
              <w:marBottom w:val="0"/>
              <w:divBdr>
                <w:top w:val="none" w:sz="0" w:space="0" w:color="auto"/>
                <w:left w:val="none" w:sz="0" w:space="0" w:color="auto"/>
                <w:bottom w:val="none" w:sz="0" w:space="0" w:color="auto"/>
                <w:right w:val="none" w:sz="0" w:space="0" w:color="auto"/>
              </w:divBdr>
            </w:div>
            <w:div w:id="549925139">
              <w:marLeft w:val="0"/>
              <w:marRight w:val="0"/>
              <w:marTop w:val="0"/>
              <w:marBottom w:val="0"/>
              <w:divBdr>
                <w:top w:val="none" w:sz="0" w:space="0" w:color="auto"/>
                <w:left w:val="none" w:sz="0" w:space="0" w:color="auto"/>
                <w:bottom w:val="none" w:sz="0" w:space="0" w:color="auto"/>
                <w:right w:val="none" w:sz="0" w:space="0" w:color="auto"/>
              </w:divBdr>
            </w:div>
            <w:div w:id="973867836">
              <w:marLeft w:val="0"/>
              <w:marRight w:val="0"/>
              <w:marTop w:val="0"/>
              <w:marBottom w:val="0"/>
              <w:divBdr>
                <w:top w:val="none" w:sz="0" w:space="0" w:color="auto"/>
                <w:left w:val="none" w:sz="0" w:space="0" w:color="auto"/>
                <w:bottom w:val="none" w:sz="0" w:space="0" w:color="auto"/>
                <w:right w:val="none" w:sz="0" w:space="0" w:color="auto"/>
              </w:divBdr>
            </w:div>
            <w:div w:id="317805456">
              <w:marLeft w:val="0"/>
              <w:marRight w:val="0"/>
              <w:marTop w:val="0"/>
              <w:marBottom w:val="0"/>
              <w:divBdr>
                <w:top w:val="none" w:sz="0" w:space="0" w:color="auto"/>
                <w:left w:val="none" w:sz="0" w:space="0" w:color="auto"/>
                <w:bottom w:val="none" w:sz="0" w:space="0" w:color="auto"/>
                <w:right w:val="none" w:sz="0" w:space="0" w:color="auto"/>
              </w:divBdr>
            </w:div>
            <w:div w:id="75825837">
              <w:marLeft w:val="0"/>
              <w:marRight w:val="0"/>
              <w:marTop w:val="0"/>
              <w:marBottom w:val="0"/>
              <w:divBdr>
                <w:top w:val="none" w:sz="0" w:space="0" w:color="auto"/>
                <w:left w:val="none" w:sz="0" w:space="0" w:color="auto"/>
                <w:bottom w:val="none" w:sz="0" w:space="0" w:color="auto"/>
                <w:right w:val="none" w:sz="0" w:space="0" w:color="auto"/>
              </w:divBdr>
            </w:div>
            <w:div w:id="392122608">
              <w:marLeft w:val="0"/>
              <w:marRight w:val="0"/>
              <w:marTop w:val="0"/>
              <w:marBottom w:val="0"/>
              <w:divBdr>
                <w:top w:val="none" w:sz="0" w:space="0" w:color="auto"/>
                <w:left w:val="none" w:sz="0" w:space="0" w:color="auto"/>
                <w:bottom w:val="none" w:sz="0" w:space="0" w:color="auto"/>
                <w:right w:val="none" w:sz="0" w:space="0" w:color="auto"/>
              </w:divBdr>
            </w:div>
            <w:div w:id="561015953">
              <w:marLeft w:val="0"/>
              <w:marRight w:val="0"/>
              <w:marTop w:val="0"/>
              <w:marBottom w:val="0"/>
              <w:divBdr>
                <w:top w:val="none" w:sz="0" w:space="0" w:color="auto"/>
                <w:left w:val="none" w:sz="0" w:space="0" w:color="auto"/>
                <w:bottom w:val="none" w:sz="0" w:space="0" w:color="auto"/>
                <w:right w:val="none" w:sz="0" w:space="0" w:color="auto"/>
              </w:divBdr>
            </w:div>
            <w:div w:id="2126003939">
              <w:marLeft w:val="0"/>
              <w:marRight w:val="0"/>
              <w:marTop w:val="0"/>
              <w:marBottom w:val="0"/>
              <w:divBdr>
                <w:top w:val="none" w:sz="0" w:space="0" w:color="auto"/>
                <w:left w:val="none" w:sz="0" w:space="0" w:color="auto"/>
                <w:bottom w:val="none" w:sz="0" w:space="0" w:color="auto"/>
                <w:right w:val="none" w:sz="0" w:space="0" w:color="auto"/>
              </w:divBdr>
            </w:div>
            <w:div w:id="1600721048">
              <w:marLeft w:val="0"/>
              <w:marRight w:val="0"/>
              <w:marTop w:val="0"/>
              <w:marBottom w:val="0"/>
              <w:divBdr>
                <w:top w:val="none" w:sz="0" w:space="0" w:color="auto"/>
                <w:left w:val="none" w:sz="0" w:space="0" w:color="auto"/>
                <w:bottom w:val="none" w:sz="0" w:space="0" w:color="auto"/>
                <w:right w:val="none" w:sz="0" w:space="0" w:color="auto"/>
              </w:divBdr>
            </w:div>
            <w:div w:id="590698880">
              <w:marLeft w:val="0"/>
              <w:marRight w:val="0"/>
              <w:marTop w:val="0"/>
              <w:marBottom w:val="0"/>
              <w:divBdr>
                <w:top w:val="none" w:sz="0" w:space="0" w:color="auto"/>
                <w:left w:val="none" w:sz="0" w:space="0" w:color="auto"/>
                <w:bottom w:val="none" w:sz="0" w:space="0" w:color="auto"/>
                <w:right w:val="none" w:sz="0" w:space="0" w:color="auto"/>
              </w:divBdr>
            </w:div>
            <w:div w:id="1618902320">
              <w:marLeft w:val="0"/>
              <w:marRight w:val="0"/>
              <w:marTop w:val="0"/>
              <w:marBottom w:val="0"/>
              <w:divBdr>
                <w:top w:val="none" w:sz="0" w:space="0" w:color="auto"/>
                <w:left w:val="none" w:sz="0" w:space="0" w:color="auto"/>
                <w:bottom w:val="none" w:sz="0" w:space="0" w:color="auto"/>
                <w:right w:val="none" w:sz="0" w:space="0" w:color="auto"/>
              </w:divBdr>
            </w:div>
            <w:div w:id="4672042">
              <w:marLeft w:val="0"/>
              <w:marRight w:val="0"/>
              <w:marTop w:val="0"/>
              <w:marBottom w:val="0"/>
              <w:divBdr>
                <w:top w:val="none" w:sz="0" w:space="0" w:color="auto"/>
                <w:left w:val="none" w:sz="0" w:space="0" w:color="auto"/>
                <w:bottom w:val="none" w:sz="0" w:space="0" w:color="auto"/>
                <w:right w:val="none" w:sz="0" w:space="0" w:color="auto"/>
              </w:divBdr>
            </w:div>
            <w:div w:id="429355934">
              <w:marLeft w:val="0"/>
              <w:marRight w:val="0"/>
              <w:marTop w:val="0"/>
              <w:marBottom w:val="0"/>
              <w:divBdr>
                <w:top w:val="none" w:sz="0" w:space="0" w:color="auto"/>
                <w:left w:val="none" w:sz="0" w:space="0" w:color="auto"/>
                <w:bottom w:val="none" w:sz="0" w:space="0" w:color="auto"/>
                <w:right w:val="none" w:sz="0" w:space="0" w:color="auto"/>
              </w:divBdr>
            </w:div>
            <w:div w:id="974138824">
              <w:marLeft w:val="0"/>
              <w:marRight w:val="0"/>
              <w:marTop w:val="0"/>
              <w:marBottom w:val="0"/>
              <w:divBdr>
                <w:top w:val="none" w:sz="0" w:space="0" w:color="auto"/>
                <w:left w:val="none" w:sz="0" w:space="0" w:color="auto"/>
                <w:bottom w:val="none" w:sz="0" w:space="0" w:color="auto"/>
                <w:right w:val="none" w:sz="0" w:space="0" w:color="auto"/>
              </w:divBdr>
            </w:div>
            <w:div w:id="1109738799">
              <w:marLeft w:val="0"/>
              <w:marRight w:val="0"/>
              <w:marTop w:val="0"/>
              <w:marBottom w:val="0"/>
              <w:divBdr>
                <w:top w:val="none" w:sz="0" w:space="0" w:color="auto"/>
                <w:left w:val="none" w:sz="0" w:space="0" w:color="auto"/>
                <w:bottom w:val="none" w:sz="0" w:space="0" w:color="auto"/>
                <w:right w:val="none" w:sz="0" w:space="0" w:color="auto"/>
              </w:divBdr>
            </w:div>
            <w:div w:id="2100372117">
              <w:marLeft w:val="0"/>
              <w:marRight w:val="0"/>
              <w:marTop w:val="0"/>
              <w:marBottom w:val="0"/>
              <w:divBdr>
                <w:top w:val="none" w:sz="0" w:space="0" w:color="auto"/>
                <w:left w:val="none" w:sz="0" w:space="0" w:color="auto"/>
                <w:bottom w:val="none" w:sz="0" w:space="0" w:color="auto"/>
                <w:right w:val="none" w:sz="0" w:space="0" w:color="auto"/>
              </w:divBdr>
            </w:div>
            <w:div w:id="1327779835">
              <w:marLeft w:val="0"/>
              <w:marRight w:val="0"/>
              <w:marTop w:val="0"/>
              <w:marBottom w:val="0"/>
              <w:divBdr>
                <w:top w:val="none" w:sz="0" w:space="0" w:color="auto"/>
                <w:left w:val="none" w:sz="0" w:space="0" w:color="auto"/>
                <w:bottom w:val="none" w:sz="0" w:space="0" w:color="auto"/>
                <w:right w:val="none" w:sz="0" w:space="0" w:color="auto"/>
              </w:divBdr>
            </w:div>
            <w:div w:id="908612086">
              <w:marLeft w:val="0"/>
              <w:marRight w:val="0"/>
              <w:marTop w:val="0"/>
              <w:marBottom w:val="0"/>
              <w:divBdr>
                <w:top w:val="none" w:sz="0" w:space="0" w:color="auto"/>
                <w:left w:val="none" w:sz="0" w:space="0" w:color="auto"/>
                <w:bottom w:val="none" w:sz="0" w:space="0" w:color="auto"/>
                <w:right w:val="none" w:sz="0" w:space="0" w:color="auto"/>
              </w:divBdr>
            </w:div>
            <w:div w:id="1030571951">
              <w:marLeft w:val="0"/>
              <w:marRight w:val="0"/>
              <w:marTop w:val="0"/>
              <w:marBottom w:val="0"/>
              <w:divBdr>
                <w:top w:val="none" w:sz="0" w:space="0" w:color="auto"/>
                <w:left w:val="none" w:sz="0" w:space="0" w:color="auto"/>
                <w:bottom w:val="none" w:sz="0" w:space="0" w:color="auto"/>
                <w:right w:val="none" w:sz="0" w:space="0" w:color="auto"/>
              </w:divBdr>
            </w:div>
            <w:div w:id="1549996842">
              <w:marLeft w:val="0"/>
              <w:marRight w:val="0"/>
              <w:marTop w:val="0"/>
              <w:marBottom w:val="0"/>
              <w:divBdr>
                <w:top w:val="none" w:sz="0" w:space="0" w:color="auto"/>
                <w:left w:val="none" w:sz="0" w:space="0" w:color="auto"/>
                <w:bottom w:val="none" w:sz="0" w:space="0" w:color="auto"/>
                <w:right w:val="none" w:sz="0" w:space="0" w:color="auto"/>
              </w:divBdr>
            </w:div>
            <w:div w:id="1954704244">
              <w:marLeft w:val="0"/>
              <w:marRight w:val="0"/>
              <w:marTop w:val="0"/>
              <w:marBottom w:val="0"/>
              <w:divBdr>
                <w:top w:val="none" w:sz="0" w:space="0" w:color="auto"/>
                <w:left w:val="none" w:sz="0" w:space="0" w:color="auto"/>
                <w:bottom w:val="none" w:sz="0" w:space="0" w:color="auto"/>
                <w:right w:val="none" w:sz="0" w:space="0" w:color="auto"/>
              </w:divBdr>
            </w:div>
            <w:div w:id="2028561299">
              <w:marLeft w:val="0"/>
              <w:marRight w:val="0"/>
              <w:marTop w:val="0"/>
              <w:marBottom w:val="0"/>
              <w:divBdr>
                <w:top w:val="none" w:sz="0" w:space="0" w:color="auto"/>
                <w:left w:val="none" w:sz="0" w:space="0" w:color="auto"/>
                <w:bottom w:val="none" w:sz="0" w:space="0" w:color="auto"/>
                <w:right w:val="none" w:sz="0" w:space="0" w:color="auto"/>
              </w:divBdr>
            </w:div>
            <w:div w:id="1638414590">
              <w:marLeft w:val="0"/>
              <w:marRight w:val="0"/>
              <w:marTop w:val="0"/>
              <w:marBottom w:val="0"/>
              <w:divBdr>
                <w:top w:val="none" w:sz="0" w:space="0" w:color="auto"/>
                <w:left w:val="none" w:sz="0" w:space="0" w:color="auto"/>
                <w:bottom w:val="none" w:sz="0" w:space="0" w:color="auto"/>
                <w:right w:val="none" w:sz="0" w:space="0" w:color="auto"/>
              </w:divBdr>
            </w:div>
            <w:div w:id="1738673806">
              <w:marLeft w:val="0"/>
              <w:marRight w:val="0"/>
              <w:marTop w:val="0"/>
              <w:marBottom w:val="0"/>
              <w:divBdr>
                <w:top w:val="none" w:sz="0" w:space="0" w:color="auto"/>
                <w:left w:val="none" w:sz="0" w:space="0" w:color="auto"/>
                <w:bottom w:val="none" w:sz="0" w:space="0" w:color="auto"/>
                <w:right w:val="none" w:sz="0" w:space="0" w:color="auto"/>
              </w:divBdr>
            </w:div>
            <w:div w:id="481847211">
              <w:marLeft w:val="0"/>
              <w:marRight w:val="0"/>
              <w:marTop w:val="0"/>
              <w:marBottom w:val="0"/>
              <w:divBdr>
                <w:top w:val="none" w:sz="0" w:space="0" w:color="auto"/>
                <w:left w:val="none" w:sz="0" w:space="0" w:color="auto"/>
                <w:bottom w:val="none" w:sz="0" w:space="0" w:color="auto"/>
                <w:right w:val="none" w:sz="0" w:space="0" w:color="auto"/>
              </w:divBdr>
            </w:div>
            <w:div w:id="2027712148">
              <w:marLeft w:val="0"/>
              <w:marRight w:val="0"/>
              <w:marTop w:val="0"/>
              <w:marBottom w:val="0"/>
              <w:divBdr>
                <w:top w:val="none" w:sz="0" w:space="0" w:color="auto"/>
                <w:left w:val="none" w:sz="0" w:space="0" w:color="auto"/>
                <w:bottom w:val="none" w:sz="0" w:space="0" w:color="auto"/>
                <w:right w:val="none" w:sz="0" w:space="0" w:color="auto"/>
              </w:divBdr>
            </w:div>
            <w:div w:id="1805388218">
              <w:marLeft w:val="0"/>
              <w:marRight w:val="0"/>
              <w:marTop w:val="0"/>
              <w:marBottom w:val="0"/>
              <w:divBdr>
                <w:top w:val="none" w:sz="0" w:space="0" w:color="auto"/>
                <w:left w:val="none" w:sz="0" w:space="0" w:color="auto"/>
                <w:bottom w:val="none" w:sz="0" w:space="0" w:color="auto"/>
                <w:right w:val="none" w:sz="0" w:space="0" w:color="auto"/>
              </w:divBdr>
            </w:div>
            <w:div w:id="1537355804">
              <w:marLeft w:val="0"/>
              <w:marRight w:val="0"/>
              <w:marTop w:val="0"/>
              <w:marBottom w:val="0"/>
              <w:divBdr>
                <w:top w:val="none" w:sz="0" w:space="0" w:color="auto"/>
                <w:left w:val="none" w:sz="0" w:space="0" w:color="auto"/>
                <w:bottom w:val="none" w:sz="0" w:space="0" w:color="auto"/>
                <w:right w:val="none" w:sz="0" w:space="0" w:color="auto"/>
              </w:divBdr>
            </w:div>
            <w:div w:id="1175656391">
              <w:marLeft w:val="0"/>
              <w:marRight w:val="0"/>
              <w:marTop w:val="0"/>
              <w:marBottom w:val="0"/>
              <w:divBdr>
                <w:top w:val="none" w:sz="0" w:space="0" w:color="auto"/>
                <w:left w:val="none" w:sz="0" w:space="0" w:color="auto"/>
                <w:bottom w:val="none" w:sz="0" w:space="0" w:color="auto"/>
                <w:right w:val="none" w:sz="0" w:space="0" w:color="auto"/>
              </w:divBdr>
            </w:div>
            <w:div w:id="1167132560">
              <w:marLeft w:val="0"/>
              <w:marRight w:val="0"/>
              <w:marTop w:val="0"/>
              <w:marBottom w:val="0"/>
              <w:divBdr>
                <w:top w:val="none" w:sz="0" w:space="0" w:color="auto"/>
                <w:left w:val="none" w:sz="0" w:space="0" w:color="auto"/>
                <w:bottom w:val="none" w:sz="0" w:space="0" w:color="auto"/>
                <w:right w:val="none" w:sz="0" w:space="0" w:color="auto"/>
              </w:divBdr>
            </w:div>
            <w:div w:id="14121385">
              <w:marLeft w:val="0"/>
              <w:marRight w:val="0"/>
              <w:marTop w:val="0"/>
              <w:marBottom w:val="0"/>
              <w:divBdr>
                <w:top w:val="none" w:sz="0" w:space="0" w:color="auto"/>
                <w:left w:val="none" w:sz="0" w:space="0" w:color="auto"/>
                <w:bottom w:val="none" w:sz="0" w:space="0" w:color="auto"/>
                <w:right w:val="none" w:sz="0" w:space="0" w:color="auto"/>
              </w:divBdr>
            </w:div>
            <w:div w:id="82804267">
              <w:marLeft w:val="0"/>
              <w:marRight w:val="0"/>
              <w:marTop w:val="0"/>
              <w:marBottom w:val="0"/>
              <w:divBdr>
                <w:top w:val="none" w:sz="0" w:space="0" w:color="auto"/>
                <w:left w:val="none" w:sz="0" w:space="0" w:color="auto"/>
                <w:bottom w:val="none" w:sz="0" w:space="0" w:color="auto"/>
                <w:right w:val="none" w:sz="0" w:space="0" w:color="auto"/>
              </w:divBdr>
            </w:div>
            <w:div w:id="357656918">
              <w:marLeft w:val="0"/>
              <w:marRight w:val="0"/>
              <w:marTop w:val="0"/>
              <w:marBottom w:val="0"/>
              <w:divBdr>
                <w:top w:val="none" w:sz="0" w:space="0" w:color="auto"/>
                <w:left w:val="none" w:sz="0" w:space="0" w:color="auto"/>
                <w:bottom w:val="none" w:sz="0" w:space="0" w:color="auto"/>
                <w:right w:val="none" w:sz="0" w:space="0" w:color="auto"/>
              </w:divBdr>
            </w:div>
            <w:div w:id="189220676">
              <w:marLeft w:val="0"/>
              <w:marRight w:val="0"/>
              <w:marTop w:val="0"/>
              <w:marBottom w:val="0"/>
              <w:divBdr>
                <w:top w:val="none" w:sz="0" w:space="0" w:color="auto"/>
                <w:left w:val="none" w:sz="0" w:space="0" w:color="auto"/>
                <w:bottom w:val="none" w:sz="0" w:space="0" w:color="auto"/>
                <w:right w:val="none" w:sz="0" w:space="0" w:color="auto"/>
              </w:divBdr>
            </w:div>
            <w:div w:id="772549737">
              <w:marLeft w:val="0"/>
              <w:marRight w:val="0"/>
              <w:marTop w:val="0"/>
              <w:marBottom w:val="0"/>
              <w:divBdr>
                <w:top w:val="none" w:sz="0" w:space="0" w:color="auto"/>
                <w:left w:val="none" w:sz="0" w:space="0" w:color="auto"/>
                <w:bottom w:val="none" w:sz="0" w:space="0" w:color="auto"/>
                <w:right w:val="none" w:sz="0" w:space="0" w:color="auto"/>
              </w:divBdr>
            </w:div>
            <w:div w:id="1654067986">
              <w:marLeft w:val="0"/>
              <w:marRight w:val="0"/>
              <w:marTop w:val="0"/>
              <w:marBottom w:val="0"/>
              <w:divBdr>
                <w:top w:val="none" w:sz="0" w:space="0" w:color="auto"/>
                <w:left w:val="none" w:sz="0" w:space="0" w:color="auto"/>
                <w:bottom w:val="none" w:sz="0" w:space="0" w:color="auto"/>
                <w:right w:val="none" w:sz="0" w:space="0" w:color="auto"/>
              </w:divBdr>
            </w:div>
            <w:div w:id="1883902045">
              <w:marLeft w:val="0"/>
              <w:marRight w:val="0"/>
              <w:marTop w:val="0"/>
              <w:marBottom w:val="0"/>
              <w:divBdr>
                <w:top w:val="none" w:sz="0" w:space="0" w:color="auto"/>
                <w:left w:val="none" w:sz="0" w:space="0" w:color="auto"/>
                <w:bottom w:val="none" w:sz="0" w:space="0" w:color="auto"/>
                <w:right w:val="none" w:sz="0" w:space="0" w:color="auto"/>
              </w:divBdr>
            </w:div>
            <w:div w:id="2095544176">
              <w:marLeft w:val="0"/>
              <w:marRight w:val="0"/>
              <w:marTop w:val="0"/>
              <w:marBottom w:val="0"/>
              <w:divBdr>
                <w:top w:val="none" w:sz="0" w:space="0" w:color="auto"/>
                <w:left w:val="none" w:sz="0" w:space="0" w:color="auto"/>
                <w:bottom w:val="none" w:sz="0" w:space="0" w:color="auto"/>
                <w:right w:val="none" w:sz="0" w:space="0" w:color="auto"/>
              </w:divBdr>
            </w:div>
            <w:div w:id="1836799874">
              <w:marLeft w:val="0"/>
              <w:marRight w:val="0"/>
              <w:marTop w:val="0"/>
              <w:marBottom w:val="0"/>
              <w:divBdr>
                <w:top w:val="none" w:sz="0" w:space="0" w:color="auto"/>
                <w:left w:val="none" w:sz="0" w:space="0" w:color="auto"/>
                <w:bottom w:val="none" w:sz="0" w:space="0" w:color="auto"/>
                <w:right w:val="none" w:sz="0" w:space="0" w:color="auto"/>
              </w:divBdr>
            </w:div>
            <w:div w:id="71046351">
              <w:marLeft w:val="0"/>
              <w:marRight w:val="0"/>
              <w:marTop w:val="0"/>
              <w:marBottom w:val="0"/>
              <w:divBdr>
                <w:top w:val="none" w:sz="0" w:space="0" w:color="auto"/>
                <w:left w:val="none" w:sz="0" w:space="0" w:color="auto"/>
                <w:bottom w:val="none" w:sz="0" w:space="0" w:color="auto"/>
                <w:right w:val="none" w:sz="0" w:space="0" w:color="auto"/>
              </w:divBdr>
            </w:div>
            <w:div w:id="1423329865">
              <w:marLeft w:val="0"/>
              <w:marRight w:val="0"/>
              <w:marTop w:val="0"/>
              <w:marBottom w:val="0"/>
              <w:divBdr>
                <w:top w:val="none" w:sz="0" w:space="0" w:color="auto"/>
                <w:left w:val="none" w:sz="0" w:space="0" w:color="auto"/>
                <w:bottom w:val="none" w:sz="0" w:space="0" w:color="auto"/>
                <w:right w:val="none" w:sz="0" w:space="0" w:color="auto"/>
              </w:divBdr>
            </w:div>
            <w:div w:id="158230228">
              <w:marLeft w:val="0"/>
              <w:marRight w:val="0"/>
              <w:marTop w:val="0"/>
              <w:marBottom w:val="0"/>
              <w:divBdr>
                <w:top w:val="none" w:sz="0" w:space="0" w:color="auto"/>
                <w:left w:val="none" w:sz="0" w:space="0" w:color="auto"/>
                <w:bottom w:val="none" w:sz="0" w:space="0" w:color="auto"/>
                <w:right w:val="none" w:sz="0" w:space="0" w:color="auto"/>
              </w:divBdr>
            </w:div>
            <w:div w:id="1812358417">
              <w:marLeft w:val="0"/>
              <w:marRight w:val="0"/>
              <w:marTop w:val="0"/>
              <w:marBottom w:val="0"/>
              <w:divBdr>
                <w:top w:val="none" w:sz="0" w:space="0" w:color="auto"/>
                <w:left w:val="none" w:sz="0" w:space="0" w:color="auto"/>
                <w:bottom w:val="none" w:sz="0" w:space="0" w:color="auto"/>
                <w:right w:val="none" w:sz="0" w:space="0" w:color="auto"/>
              </w:divBdr>
            </w:div>
            <w:div w:id="1091781135">
              <w:marLeft w:val="0"/>
              <w:marRight w:val="0"/>
              <w:marTop w:val="0"/>
              <w:marBottom w:val="0"/>
              <w:divBdr>
                <w:top w:val="none" w:sz="0" w:space="0" w:color="auto"/>
                <w:left w:val="none" w:sz="0" w:space="0" w:color="auto"/>
                <w:bottom w:val="none" w:sz="0" w:space="0" w:color="auto"/>
                <w:right w:val="none" w:sz="0" w:space="0" w:color="auto"/>
              </w:divBdr>
            </w:div>
            <w:div w:id="247083708">
              <w:marLeft w:val="0"/>
              <w:marRight w:val="0"/>
              <w:marTop w:val="0"/>
              <w:marBottom w:val="0"/>
              <w:divBdr>
                <w:top w:val="none" w:sz="0" w:space="0" w:color="auto"/>
                <w:left w:val="none" w:sz="0" w:space="0" w:color="auto"/>
                <w:bottom w:val="none" w:sz="0" w:space="0" w:color="auto"/>
                <w:right w:val="none" w:sz="0" w:space="0" w:color="auto"/>
              </w:divBdr>
            </w:div>
            <w:div w:id="1715503011">
              <w:marLeft w:val="0"/>
              <w:marRight w:val="0"/>
              <w:marTop w:val="0"/>
              <w:marBottom w:val="0"/>
              <w:divBdr>
                <w:top w:val="none" w:sz="0" w:space="0" w:color="auto"/>
                <w:left w:val="none" w:sz="0" w:space="0" w:color="auto"/>
                <w:bottom w:val="none" w:sz="0" w:space="0" w:color="auto"/>
                <w:right w:val="none" w:sz="0" w:space="0" w:color="auto"/>
              </w:divBdr>
            </w:div>
            <w:div w:id="1595747917">
              <w:marLeft w:val="0"/>
              <w:marRight w:val="0"/>
              <w:marTop w:val="0"/>
              <w:marBottom w:val="0"/>
              <w:divBdr>
                <w:top w:val="none" w:sz="0" w:space="0" w:color="auto"/>
                <w:left w:val="none" w:sz="0" w:space="0" w:color="auto"/>
                <w:bottom w:val="none" w:sz="0" w:space="0" w:color="auto"/>
                <w:right w:val="none" w:sz="0" w:space="0" w:color="auto"/>
              </w:divBdr>
            </w:div>
            <w:div w:id="1721368623">
              <w:marLeft w:val="0"/>
              <w:marRight w:val="0"/>
              <w:marTop w:val="0"/>
              <w:marBottom w:val="0"/>
              <w:divBdr>
                <w:top w:val="none" w:sz="0" w:space="0" w:color="auto"/>
                <w:left w:val="none" w:sz="0" w:space="0" w:color="auto"/>
                <w:bottom w:val="none" w:sz="0" w:space="0" w:color="auto"/>
                <w:right w:val="none" w:sz="0" w:space="0" w:color="auto"/>
              </w:divBdr>
            </w:div>
            <w:div w:id="742095807">
              <w:marLeft w:val="0"/>
              <w:marRight w:val="0"/>
              <w:marTop w:val="0"/>
              <w:marBottom w:val="0"/>
              <w:divBdr>
                <w:top w:val="none" w:sz="0" w:space="0" w:color="auto"/>
                <w:left w:val="none" w:sz="0" w:space="0" w:color="auto"/>
                <w:bottom w:val="none" w:sz="0" w:space="0" w:color="auto"/>
                <w:right w:val="none" w:sz="0" w:space="0" w:color="auto"/>
              </w:divBdr>
            </w:div>
            <w:div w:id="1811746409">
              <w:marLeft w:val="0"/>
              <w:marRight w:val="0"/>
              <w:marTop w:val="0"/>
              <w:marBottom w:val="0"/>
              <w:divBdr>
                <w:top w:val="none" w:sz="0" w:space="0" w:color="auto"/>
                <w:left w:val="none" w:sz="0" w:space="0" w:color="auto"/>
                <w:bottom w:val="none" w:sz="0" w:space="0" w:color="auto"/>
                <w:right w:val="none" w:sz="0" w:space="0" w:color="auto"/>
              </w:divBdr>
            </w:div>
            <w:div w:id="1945533947">
              <w:marLeft w:val="0"/>
              <w:marRight w:val="0"/>
              <w:marTop w:val="0"/>
              <w:marBottom w:val="0"/>
              <w:divBdr>
                <w:top w:val="none" w:sz="0" w:space="0" w:color="auto"/>
                <w:left w:val="none" w:sz="0" w:space="0" w:color="auto"/>
                <w:bottom w:val="none" w:sz="0" w:space="0" w:color="auto"/>
                <w:right w:val="none" w:sz="0" w:space="0" w:color="auto"/>
              </w:divBdr>
            </w:div>
            <w:div w:id="321199764">
              <w:marLeft w:val="0"/>
              <w:marRight w:val="0"/>
              <w:marTop w:val="0"/>
              <w:marBottom w:val="0"/>
              <w:divBdr>
                <w:top w:val="none" w:sz="0" w:space="0" w:color="auto"/>
                <w:left w:val="none" w:sz="0" w:space="0" w:color="auto"/>
                <w:bottom w:val="none" w:sz="0" w:space="0" w:color="auto"/>
                <w:right w:val="none" w:sz="0" w:space="0" w:color="auto"/>
              </w:divBdr>
            </w:div>
            <w:div w:id="1245795371">
              <w:marLeft w:val="0"/>
              <w:marRight w:val="0"/>
              <w:marTop w:val="0"/>
              <w:marBottom w:val="0"/>
              <w:divBdr>
                <w:top w:val="none" w:sz="0" w:space="0" w:color="auto"/>
                <w:left w:val="none" w:sz="0" w:space="0" w:color="auto"/>
                <w:bottom w:val="none" w:sz="0" w:space="0" w:color="auto"/>
                <w:right w:val="none" w:sz="0" w:space="0" w:color="auto"/>
              </w:divBdr>
            </w:div>
            <w:div w:id="1552233340">
              <w:marLeft w:val="0"/>
              <w:marRight w:val="0"/>
              <w:marTop w:val="0"/>
              <w:marBottom w:val="0"/>
              <w:divBdr>
                <w:top w:val="none" w:sz="0" w:space="0" w:color="auto"/>
                <w:left w:val="none" w:sz="0" w:space="0" w:color="auto"/>
                <w:bottom w:val="none" w:sz="0" w:space="0" w:color="auto"/>
                <w:right w:val="none" w:sz="0" w:space="0" w:color="auto"/>
              </w:divBdr>
            </w:div>
            <w:div w:id="361131074">
              <w:marLeft w:val="0"/>
              <w:marRight w:val="0"/>
              <w:marTop w:val="0"/>
              <w:marBottom w:val="0"/>
              <w:divBdr>
                <w:top w:val="none" w:sz="0" w:space="0" w:color="auto"/>
                <w:left w:val="none" w:sz="0" w:space="0" w:color="auto"/>
                <w:bottom w:val="none" w:sz="0" w:space="0" w:color="auto"/>
                <w:right w:val="none" w:sz="0" w:space="0" w:color="auto"/>
              </w:divBdr>
            </w:div>
            <w:div w:id="955141996">
              <w:marLeft w:val="0"/>
              <w:marRight w:val="0"/>
              <w:marTop w:val="0"/>
              <w:marBottom w:val="0"/>
              <w:divBdr>
                <w:top w:val="none" w:sz="0" w:space="0" w:color="auto"/>
                <w:left w:val="none" w:sz="0" w:space="0" w:color="auto"/>
                <w:bottom w:val="none" w:sz="0" w:space="0" w:color="auto"/>
                <w:right w:val="none" w:sz="0" w:space="0" w:color="auto"/>
              </w:divBdr>
            </w:div>
            <w:div w:id="1806501971">
              <w:marLeft w:val="0"/>
              <w:marRight w:val="0"/>
              <w:marTop w:val="0"/>
              <w:marBottom w:val="0"/>
              <w:divBdr>
                <w:top w:val="none" w:sz="0" w:space="0" w:color="auto"/>
                <w:left w:val="none" w:sz="0" w:space="0" w:color="auto"/>
                <w:bottom w:val="none" w:sz="0" w:space="0" w:color="auto"/>
                <w:right w:val="none" w:sz="0" w:space="0" w:color="auto"/>
              </w:divBdr>
            </w:div>
            <w:div w:id="176624237">
              <w:marLeft w:val="0"/>
              <w:marRight w:val="0"/>
              <w:marTop w:val="0"/>
              <w:marBottom w:val="0"/>
              <w:divBdr>
                <w:top w:val="none" w:sz="0" w:space="0" w:color="auto"/>
                <w:left w:val="none" w:sz="0" w:space="0" w:color="auto"/>
                <w:bottom w:val="none" w:sz="0" w:space="0" w:color="auto"/>
                <w:right w:val="none" w:sz="0" w:space="0" w:color="auto"/>
              </w:divBdr>
            </w:div>
            <w:div w:id="1356007001">
              <w:marLeft w:val="0"/>
              <w:marRight w:val="0"/>
              <w:marTop w:val="0"/>
              <w:marBottom w:val="0"/>
              <w:divBdr>
                <w:top w:val="none" w:sz="0" w:space="0" w:color="auto"/>
                <w:left w:val="none" w:sz="0" w:space="0" w:color="auto"/>
                <w:bottom w:val="none" w:sz="0" w:space="0" w:color="auto"/>
                <w:right w:val="none" w:sz="0" w:space="0" w:color="auto"/>
              </w:divBdr>
            </w:div>
            <w:div w:id="1297446801">
              <w:marLeft w:val="0"/>
              <w:marRight w:val="0"/>
              <w:marTop w:val="0"/>
              <w:marBottom w:val="0"/>
              <w:divBdr>
                <w:top w:val="none" w:sz="0" w:space="0" w:color="auto"/>
                <w:left w:val="none" w:sz="0" w:space="0" w:color="auto"/>
                <w:bottom w:val="none" w:sz="0" w:space="0" w:color="auto"/>
                <w:right w:val="none" w:sz="0" w:space="0" w:color="auto"/>
              </w:divBdr>
            </w:div>
            <w:div w:id="1090933487">
              <w:marLeft w:val="0"/>
              <w:marRight w:val="0"/>
              <w:marTop w:val="0"/>
              <w:marBottom w:val="0"/>
              <w:divBdr>
                <w:top w:val="none" w:sz="0" w:space="0" w:color="auto"/>
                <w:left w:val="none" w:sz="0" w:space="0" w:color="auto"/>
                <w:bottom w:val="none" w:sz="0" w:space="0" w:color="auto"/>
                <w:right w:val="none" w:sz="0" w:space="0" w:color="auto"/>
              </w:divBdr>
            </w:div>
            <w:div w:id="1543712947">
              <w:marLeft w:val="0"/>
              <w:marRight w:val="0"/>
              <w:marTop w:val="0"/>
              <w:marBottom w:val="0"/>
              <w:divBdr>
                <w:top w:val="none" w:sz="0" w:space="0" w:color="auto"/>
                <w:left w:val="none" w:sz="0" w:space="0" w:color="auto"/>
                <w:bottom w:val="none" w:sz="0" w:space="0" w:color="auto"/>
                <w:right w:val="none" w:sz="0" w:space="0" w:color="auto"/>
              </w:divBdr>
            </w:div>
            <w:div w:id="1669165059">
              <w:marLeft w:val="0"/>
              <w:marRight w:val="0"/>
              <w:marTop w:val="0"/>
              <w:marBottom w:val="0"/>
              <w:divBdr>
                <w:top w:val="none" w:sz="0" w:space="0" w:color="auto"/>
                <w:left w:val="none" w:sz="0" w:space="0" w:color="auto"/>
                <w:bottom w:val="none" w:sz="0" w:space="0" w:color="auto"/>
                <w:right w:val="none" w:sz="0" w:space="0" w:color="auto"/>
              </w:divBdr>
            </w:div>
            <w:div w:id="2057774876">
              <w:marLeft w:val="0"/>
              <w:marRight w:val="0"/>
              <w:marTop w:val="0"/>
              <w:marBottom w:val="0"/>
              <w:divBdr>
                <w:top w:val="none" w:sz="0" w:space="0" w:color="auto"/>
                <w:left w:val="none" w:sz="0" w:space="0" w:color="auto"/>
                <w:bottom w:val="none" w:sz="0" w:space="0" w:color="auto"/>
                <w:right w:val="none" w:sz="0" w:space="0" w:color="auto"/>
              </w:divBdr>
            </w:div>
            <w:div w:id="2021277461">
              <w:marLeft w:val="0"/>
              <w:marRight w:val="0"/>
              <w:marTop w:val="0"/>
              <w:marBottom w:val="0"/>
              <w:divBdr>
                <w:top w:val="none" w:sz="0" w:space="0" w:color="auto"/>
                <w:left w:val="none" w:sz="0" w:space="0" w:color="auto"/>
                <w:bottom w:val="none" w:sz="0" w:space="0" w:color="auto"/>
                <w:right w:val="none" w:sz="0" w:space="0" w:color="auto"/>
              </w:divBdr>
            </w:div>
            <w:div w:id="1063256239">
              <w:marLeft w:val="0"/>
              <w:marRight w:val="0"/>
              <w:marTop w:val="0"/>
              <w:marBottom w:val="0"/>
              <w:divBdr>
                <w:top w:val="none" w:sz="0" w:space="0" w:color="auto"/>
                <w:left w:val="none" w:sz="0" w:space="0" w:color="auto"/>
                <w:bottom w:val="none" w:sz="0" w:space="0" w:color="auto"/>
                <w:right w:val="none" w:sz="0" w:space="0" w:color="auto"/>
              </w:divBdr>
            </w:div>
            <w:div w:id="1211069167">
              <w:marLeft w:val="0"/>
              <w:marRight w:val="0"/>
              <w:marTop w:val="0"/>
              <w:marBottom w:val="0"/>
              <w:divBdr>
                <w:top w:val="none" w:sz="0" w:space="0" w:color="auto"/>
                <w:left w:val="none" w:sz="0" w:space="0" w:color="auto"/>
                <w:bottom w:val="none" w:sz="0" w:space="0" w:color="auto"/>
                <w:right w:val="none" w:sz="0" w:space="0" w:color="auto"/>
              </w:divBdr>
            </w:div>
            <w:div w:id="1106536407">
              <w:marLeft w:val="0"/>
              <w:marRight w:val="0"/>
              <w:marTop w:val="0"/>
              <w:marBottom w:val="0"/>
              <w:divBdr>
                <w:top w:val="none" w:sz="0" w:space="0" w:color="auto"/>
                <w:left w:val="none" w:sz="0" w:space="0" w:color="auto"/>
                <w:bottom w:val="none" w:sz="0" w:space="0" w:color="auto"/>
                <w:right w:val="none" w:sz="0" w:space="0" w:color="auto"/>
              </w:divBdr>
            </w:div>
            <w:div w:id="1888252987">
              <w:marLeft w:val="0"/>
              <w:marRight w:val="0"/>
              <w:marTop w:val="0"/>
              <w:marBottom w:val="0"/>
              <w:divBdr>
                <w:top w:val="none" w:sz="0" w:space="0" w:color="auto"/>
                <w:left w:val="none" w:sz="0" w:space="0" w:color="auto"/>
                <w:bottom w:val="none" w:sz="0" w:space="0" w:color="auto"/>
                <w:right w:val="none" w:sz="0" w:space="0" w:color="auto"/>
              </w:divBdr>
            </w:div>
            <w:div w:id="443767421">
              <w:marLeft w:val="0"/>
              <w:marRight w:val="0"/>
              <w:marTop w:val="0"/>
              <w:marBottom w:val="0"/>
              <w:divBdr>
                <w:top w:val="none" w:sz="0" w:space="0" w:color="auto"/>
                <w:left w:val="none" w:sz="0" w:space="0" w:color="auto"/>
                <w:bottom w:val="none" w:sz="0" w:space="0" w:color="auto"/>
                <w:right w:val="none" w:sz="0" w:space="0" w:color="auto"/>
              </w:divBdr>
            </w:div>
            <w:div w:id="994648551">
              <w:marLeft w:val="0"/>
              <w:marRight w:val="0"/>
              <w:marTop w:val="0"/>
              <w:marBottom w:val="0"/>
              <w:divBdr>
                <w:top w:val="none" w:sz="0" w:space="0" w:color="auto"/>
                <w:left w:val="none" w:sz="0" w:space="0" w:color="auto"/>
                <w:bottom w:val="none" w:sz="0" w:space="0" w:color="auto"/>
                <w:right w:val="none" w:sz="0" w:space="0" w:color="auto"/>
              </w:divBdr>
            </w:div>
            <w:div w:id="46687437">
              <w:marLeft w:val="0"/>
              <w:marRight w:val="0"/>
              <w:marTop w:val="0"/>
              <w:marBottom w:val="0"/>
              <w:divBdr>
                <w:top w:val="none" w:sz="0" w:space="0" w:color="auto"/>
                <w:left w:val="none" w:sz="0" w:space="0" w:color="auto"/>
                <w:bottom w:val="none" w:sz="0" w:space="0" w:color="auto"/>
                <w:right w:val="none" w:sz="0" w:space="0" w:color="auto"/>
              </w:divBdr>
            </w:div>
            <w:div w:id="1120882255">
              <w:marLeft w:val="0"/>
              <w:marRight w:val="0"/>
              <w:marTop w:val="0"/>
              <w:marBottom w:val="0"/>
              <w:divBdr>
                <w:top w:val="none" w:sz="0" w:space="0" w:color="auto"/>
                <w:left w:val="none" w:sz="0" w:space="0" w:color="auto"/>
                <w:bottom w:val="none" w:sz="0" w:space="0" w:color="auto"/>
                <w:right w:val="none" w:sz="0" w:space="0" w:color="auto"/>
              </w:divBdr>
            </w:div>
            <w:div w:id="1658411682">
              <w:marLeft w:val="0"/>
              <w:marRight w:val="0"/>
              <w:marTop w:val="0"/>
              <w:marBottom w:val="0"/>
              <w:divBdr>
                <w:top w:val="none" w:sz="0" w:space="0" w:color="auto"/>
                <w:left w:val="none" w:sz="0" w:space="0" w:color="auto"/>
                <w:bottom w:val="none" w:sz="0" w:space="0" w:color="auto"/>
                <w:right w:val="none" w:sz="0" w:space="0" w:color="auto"/>
              </w:divBdr>
            </w:div>
            <w:div w:id="1688671765">
              <w:marLeft w:val="0"/>
              <w:marRight w:val="0"/>
              <w:marTop w:val="0"/>
              <w:marBottom w:val="0"/>
              <w:divBdr>
                <w:top w:val="none" w:sz="0" w:space="0" w:color="auto"/>
                <w:left w:val="none" w:sz="0" w:space="0" w:color="auto"/>
                <w:bottom w:val="none" w:sz="0" w:space="0" w:color="auto"/>
                <w:right w:val="none" w:sz="0" w:space="0" w:color="auto"/>
              </w:divBdr>
            </w:div>
            <w:div w:id="206072045">
              <w:marLeft w:val="0"/>
              <w:marRight w:val="0"/>
              <w:marTop w:val="0"/>
              <w:marBottom w:val="0"/>
              <w:divBdr>
                <w:top w:val="none" w:sz="0" w:space="0" w:color="auto"/>
                <w:left w:val="none" w:sz="0" w:space="0" w:color="auto"/>
                <w:bottom w:val="none" w:sz="0" w:space="0" w:color="auto"/>
                <w:right w:val="none" w:sz="0" w:space="0" w:color="auto"/>
              </w:divBdr>
            </w:div>
            <w:div w:id="430206710">
              <w:marLeft w:val="0"/>
              <w:marRight w:val="0"/>
              <w:marTop w:val="0"/>
              <w:marBottom w:val="0"/>
              <w:divBdr>
                <w:top w:val="none" w:sz="0" w:space="0" w:color="auto"/>
                <w:left w:val="none" w:sz="0" w:space="0" w:color="auto"/>
                <w:bottom w:val="none" w:sz="0" w:space="0" w:color="auto"/>
                <w:right w:val="none" w:sz="0" w:space="0" w:color="auto"/>
              </w:divBdr>
            </w:div>
            <w:div w:id="455949370">
              <w:marLeft w:val="0"/>
              <w:marRight w:val="0"/>
              <w:marTop w:val="0"/>
              <w:marBottom w:val="0"/>
              <w:divBdr>
                <w:top w:val="none" w:sz="0" w:space="0" w:color="auto"/>
                <w:left w:val="none" w:sz="0" w:space="0" w:color="auto"/>
                <w:bottom w:val="none" w:sz="0" w:space="0" w:color="auto"/>
                <w:right w:val="none" w:sz="0" w:space="0" w:color="auto"/>
              </w:divBdr>
            </w:div>
            <w:div w:id="1695114499">
              <w:marLeft w:val="0"/>
              <w:marRight w:val="0"/>
              <w:marTop w:val="0"/>
              <w:marBottom w:val="0"/>
              <w:divBdr>
                <w:top w:val="none" w:sz="0" w:space="0" w:color="auto"/>
                <w:left w:val="none" w:sz="0" w:space="0" w:color="auto"/>
                <w:bottom w:val="none" w:sz="0" w:space="0" w:color="auto"/>
                <w:right w:val="none" w:sz="0" w:space="0" w:color="auto"/>
              </w:divBdr>
            </w:div>
            <w:div w:id="80570008">
              <w:marLeft w:val="0"/>
              <w:marRight w:val="0"/>
              <w:marTop w:val="0"/>
              <w:marBottom w:val="0"/>
              <w:divBdr>
                <w:top w:val="none" w:sz="0" w:space="0" w:color="auto"/>
                <w:left w:val="none" w:sz="0" w:space="0" w:color="auto"/>
                <w:bottom w:val="none" w:sz="0" w:space="0" w:color="auto"/>
                <w:right w:val="none" w:sz="0" w:space="0" w:color="auto"/>
              </w:divBdr>
            </w:div>
            <w:div w:id="1114979696">
              <w:marLeft w:val="0"/>
              <w:marRight w:val="0"/>
              <w:marTop w:val="0"/>
              <w:marBottom w:val="0"/>
              <w:divBdr>
                <w:top w:val="none" w:sz="0" w:space="0" w:color="auto"/>
                <w:left w:val="none" w:sz="0" w:space="0" w:color="auto"/>
                <w:bottom w:val="none" w:sz="0" w:space="0" w:color="auto"/>
                <w:right w:val="none" w:sz="0" w:space="0" w:color="auto"/>
              </w:divBdr>
            </w:div>
            <w:div w:id="1177426282">
              <w:marLeft w:val="0"/>
              <w:marRight w:val="0"/>
              <w:marTop w:val="0"/>
              <w:marBottom w:val="0"/>
              <w:divBdr>
                <w:top w:val="none" w:sz="0" w:space="0" w:color="auto"/>
                <w:left w:val="none" w:sz="0" w:space="0" w:color="auto"/>
                <w:bottom w:val="none" w:sz="0" w:space="0" w:color="auto"/>
                <w:right w:val="none" w:sz="0" w:space="0" w:color="auto"/>
              </w:divBdr>
            </w:div>
            <w:div w:id="601189629">
              <w:marLeft w:val="0"/>
              <w:marRight w:val="0"/>
              <w:marTop w:val="0"/>
              <w:marBottom w:val="0"/>
              <w:divBdr>
                <w:top w:val="none" w:sz="0" w:space="0" w:color="auto"/>
                <w:left w:val="none" w:sz="0" w:space="0" w:color="auto"/>
                <w:bottom w:val="none" w:sz="0" w:space="0" w:color="auto"/>
                <w:right w:val="none" w:sz="0" w:space="0" w:color="auto"/>
              </w:divBdr>
            </w:div>
            <w:div w:id="1959099578">
              <w:marLeft w:val="0"/>
              <w:marRight w:val="0"/>
              <w:marTop w:val="0"/>
              <w:marBottom w:val="0"/>
              <w:divBdr>
                <w:top w:val="none" w:sz="0" w:space="0" w:color="auto"/>
                <w:left w:val="none" w:sz="0" w:space="0" w:color="auto"/>
                <w:bottom w:val="none" w:sz="0" w:space="0" w:color="auto"/>
                <w:right w:val="none" w:sz="0" w:space="0" w:color="auto"/>
              </w:divBdr>
            </w:div>
            <w:div w:id="155539433">
              <w:marLeft w:val="0"/>
              <w:marRight w:val="0"/>
              <w:marTop w:val="0"/>
              <w:marBottom w:val="0"/>
              <w:divBdr>
                <w:top w:val="none" w:sz="0" w:space="0" w:color="auto"/>
                <w:left w:val="none" w:sz="0" w:space="0" w:color="auto"/>
                <w:bottom w:val="none" w:sz="0" w:space="0" w:color="auto"/>
                <w:right w:val="none" w:sz="0" w:space="0" w:color="auto"/>
              </w:divBdr>
            </w:div>
            <w:div w:id="1421878190">
              <w:marLeft w:val="0"/>
              <w:marRight w:val="0"/>
              <w:marTop w:val="0"/>
              <w:marBottom w:val="0"/>
              <w:divBdr>
                <w:top w:val="none" w:sz="0" w:space="0" w:color="auto"/>
                <w:left w:val="none" w:sz="0" w:space="0" w:color="auto"/>
                <w:bottom w:val="none" w:sz="0" w:space="0" w:color="auto"/>
                <w:right w:val="none" w:sz="0" w:space="0" w:color="auto"/>
              </w:divBdr>
            </w:div>
            <w:div w:id="570846198">
              <w:marLeft w:val="0"/>
              <w:marRight w:val="0"/>
              <w:marTop w:val="0"/>
              <w:marBottom w:val="0"/>
              <w:divBdr>
                <w:top w:val="none" w:sz="0" w:space="0" w:color="auto"/>
                <w:left w:val="none" w:sz="0" w:space="0" w:color="auto"/>
                <w:bottom w:val="none" w:sz="0" w:space="0" w:color="auto"/>
                <w:right w:val="none" w:sz="0" w:space="0" w:color="auto"/>
              </w:divBdr>
            </w:div>
            <w:div w:id="188489476">
              <w:marLeft w:val="0"/>
              <w:marRight w:val="0"/>
              <w:marTop w:val="0"/>
              <w:marBottom w:val="0"/>
              <w:divBdr>
                <w:top w:val="none" w:sz="0" w:space="0" w:color="auto"/>
                <w:left w:val="none" w:sz="0" w:space="0" w:color="auto"/>
                <w:bottom w:val="none" w:sz="0" w:space="0" w:color="auto"/>
                <w:right w:val="none" w:sz="0" w:space="0" w:color="auto"/>
              </w:divBdr>
            </w:div>
            <w:div w:id="881405449">
              <w:marLeft w:val="0"/>
              <w:marRight w:val="0"/>
              <w:marTop w:val="0"/>
              <w:marBottom w:val="0"/>
              <w:divBdr>
                <w:top w:val="none" w:sz="0" w:space="0" w:color="auto"/>
                <w:left w:val="none" w:sz="0" w:space="0" w:color="auto"/>
                <w:bottom w:val="none" w:sz="0" w:space="0" w:color="auto"/>
                <w:right w:val="none" w:sz="0" w:space="0" w:color="auto"/>
              </w:divBdr>
            </w:div>
            <w:div w:id="1831405520">
              <w:marLeft w:val="0"/>
              <w:marRight w:val="0"/>
              <w:marTop w:val="0"/>
              <w:marBottom w:val="0"/>
              <w:divBdr>
                <w:top w:val="none" w:sz="0" w:space="0" w:color="auto"/>
                <w:left w:val="none" w:sz="0" w:space="0" w:color="auto"/>
                <w:bottom w:val="none" w:sz="0" w:space="0" w:color="auto"/>
                <w:right w:val="none" w:sz="0" w:space="0" w:color="auto"/>
              </w:divBdr>
            </w:div>
            <w:div w:id="967855149">
              <w:marLeft w:val="0"/>
              <w:marRight w:val="0"/>
              <w:marTop w:val="0"/>
              <w:marBottom w:val="0"/>
              <w:divBdr>
                <w:top w:val="none" w:sz="0" w:space="0" w:color="auto"/>
                <w:left w:val="none" w:sz="0" w:space="0" w:color="auto"/>
                <w:bottom w:val="none" w:sz="0" w:space="0" w:color="auto"/>
                <w:right w:val="none" w:sz="0" w:space="0" w:color="auto"/>
              </w:divBdr>
            </w:div>
            <w:div w:id="215436205">
              <w:marLeft w:val="0"/>
              <w:marRight w:val="0"/>
              <w:marTop w:val="0"/>
              <w:marBottom w:val="0"/>
              <w:divBdr>
                <w:top w:val="none" w:sz="0" w:space="0" w:color="auto"/>
                <w:left w:val="none" w:sz="0" w:space="0" w:color="auto"/>
                <w:bottom w:val="none" w:sz="0" w:space="0" w:color="auto"/>
                <w:right w:val="none" w:sz="0" w:space="0" w:color="auto"/>
              </w:divBdr>
            </w:div>
            <w:div w:id="1844737490">
              <w:marLeft w:val="0"/>
              <w:marRight w:val="0"/>
              <w:marTop w:val="0"/>
              <w:marBottom w:val="0"/>
              <w:divBdr>
                <w:top w:val="none" w:sz="0" w:space="0" w:color="auto"/>
                <w:left w:val="none" w:sz="0" w:space="0" w:color="auto"/>
                <w:bottom w:val="none" w:sz="0" w:space="0" w:color="auto"/>
                <w:right w:val="none" w:sz="0" w:space="0" w:color="auto"/>
              </w:divBdr>
            </w:div>
            <w:div w:id="522981960">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271018286">
              <w:marLeft w:val="0"/>
              <w:marRight w:val="0"/>
              <w:marTop w:val="0"/>
              <w:marBottom w:val="0"/>
              <w:divBdr>
                <w:top w:val="none" w:sz="0" w:space="0" w:color="auto"/>
                <w:left w:val="none" w:sz="0" w:space="0" w:color="auto"/>
                <w:bottom w:val="none" w:sz="0" w:space="0" w:color="auto"/>
                <w:right w:val="none" w:sz="0" w:space="0" w:color="auto"/>
              </w:divBdr>
            </w:div>
            <w:div w:id="809051813">
              <w:marLeft w:val="0"/>
              <w:marRight w:val="0"/>
              <w:marTop w:val="0"/>
              <w:marBottom w:val="0"/>
              <w:divBdr>
                <w:top w:val="none" w:sz="0" w:space="0" w:color="auto"/>
                <w:left w:val="none" w:sz="0" w:space="0" w:color="auto"/>
                <w:bottom w:val="none" w:sz="0" w:space="0" w:color="auto"/>
                <w:right w:val="none" w:sz="0" w:space="0" w:color="auto"/>
              </w:divBdr>
            </w:div>
            <w:div w:id="1581022287">
              <w:marLeft w:val="0"/>
              <w:marRight w:val="0"/>
              <w:marTop w:val="0"/>
              <w:marBottom w:val="0"/>
              <w:divBdr>
                <w:top w:val="none" w:sz="0" w:space="0" w:color="auto"/>
                <w:left w:val="none" w:sz="0" w:space="0" w:color="auto"/>
                <w:bottom w:val="none" w:sz="0" w:space="0" w:color="auto"/>
                <w:right w:val="none" w:sz="0" w:space="0" w:color="auto"/>
              </w:divBdr>
            </w:div>
            <w:div w:id="322782524">
              <w:marLeft w:val="0"/>
              <w:marRight w:val="0"/>
              <w:marTop w:val="0"/>
              <w:marBottom w:val="0"/>
              <w:divBdr>
                <w:top w:val="none" w:sz="0" w:space="0" w:color="auto"/>
                <w:left w:val="none" w:sz="0" w:space="0" w:color="auto"/>
                <w:bottom w:val="none" w:sz="0" w:space="0" w:color="auto"/>
                <w:right w:val="none" w:sz="0" w:space="0" w:color="auto"/>
              </w:divBdr>
            </w:div>
            <w:div w:id="278488986">
              <w:marLeft w:val="0"/>
              <w:marRight w:val="0"/>
              <w:marTop w:val="0"/>
              <w:marBottom w:val="0"/>
              <w:divBdr>
                <w:top w:val="none" w:sz="0" w:space="0" w:color="auto"/>
                <w:left w:val="none" w:sz="0" w:space="0" w:color="auto"/>
                <w:bottom w:val="none" w:sz="0" w:space="0" w:color="auto"/>
                <w:right w:val="none" w:sz="0" w:space="0" w:color="auto"/>
              </w:divBdr>
            </w:div>
            <w:div w:id="550773499">
              <w:marLeft w:val="0"/>
              <w:marRight w:val="0"/>
              <w:marTop w:val="0"/>
              <w:marBottom w:val="0"/>
              <w:divBdr>
                <w:top w:val="none" w:sz="0" w:space="0" w:color="auto"/>
                <w:left w:val="none" w:sz="0" w:space="0" w:color="auto"/>
                <w:bottom w:val="none" w:sz="0" w:space="0" w:color="auto"/>
                <w:right w:val="none" w:sz="0" w:space="0" w:color="auto"/>
              </w:divBdr>
            </w:div>
            <w:div w:id="160780618">
              <w:marLeft w:val="0"/>
              <w:marRight w:val="0"/>
              <w:marTop w:val="0"/>
              <w:marBottom w:val="0"/>
              <w:divBdr>
                <w:top w:val="none" w:sz="0" w:space="0" w:color="auto"/>
                <w:left w:val="none" w:sz="0" w:space="0" w:color="auto"/>
                <w:bottom w:val="none" w:sz="0" w:space="0" w:color="auto"/>
                <w:right w:val="none" w:sz="0" w:space="0" w:color="auto"/>
              </w:divBdr>
            </w:div>
            <w:div w:id="1490100499">
              <w:marLeft w:val="0"/>
              <w:marRight w:val="0"/>
              <w:marTop w:val="0"/>
              <w:marBottom w:val="0"/>
              <w:divBdr>
                <w:top w:val="none" w:sz="0" w:space="0" w:color="auto"/>
                <w:left w:val="none" w:sz="0" w:space="0" w:color="auto"/>
                <w:bottom w:val="none" w:sz="0" w:space="0" w:color="auto"/>
                <w:right w:val="none" w:sz="0" w:space="0" w:color="auto"/>
              </w:divBdr>
            </w:div>
            <w:div w:id="459423695">
              <w:marLeft w:val="0"/>
              <w:marRight w:val="0"/>
              <w:marTop w:val="0"/>
              <w:marBottom w:val="0"/>
              <w:divBdr>
                <w:top w:val="none" w:sz="0" w:space="0" w:color="auto"/>
                <w:left w:val="none" w:sz="0" w:space="0" w:color="auto"/>
                <w:bottom w:val="none" w:sz="0" w:space="0" w:color="auto"/>
                <w:right w:val="none" w:sz="0" w:space="0" w:color="auto"/>
              </w:divBdr>
            </w:div>
            <w:div w:id="1732118240">
              <w:marLeft w:val="0"/>
              <w:marRight w:val="0"/>
              <w:marTop w:val="0"/>
              <w:marBottom w:val="0"/>
              <w:divBdr>
                <w:top w:val="none" w:sz="0" w:space="0" w:color="auto"/>
                <w:left w:val="none" w:sz="0" w:space="0" w:color="auto"/>
                <w:bottom w:val="none" w:sz="0" w:space="0" w:color="auto"/>
                <w:right w:val="none" w:sz="0" w:space="0" w:color="auto"/>
              </w:divBdr>
            </w:div>
            <w:div w:id="483670781">
              <w:marLeft w:val="0"/>
              <w:marRight w:val="0"/>
              <w:marTop w:val="0"/>
              <w:marBottom w:val="0"/>
              <w:divBdr>
                <w:top w:val="none" w:sz="0" w:space="0" w:color="auto"/>
                <w:left w:val="none" w:sz="0" w:space="0" w:color="auto"/>
                <w:bottom w:val="none" w:sz="0" w:space="0" w:color="auto"/>
                <w:right w:val="none" w:sz="0" w:space="0" w:color="auto"/>
              </w:divBdr>
            </w:div>
            <w:div w:id="1739208708">
              <w:marLeft w:val="0"/>
              <w:marRight w:val="0"/>
              <w:marTop w:val="0"/>
              <w:marBottom w:val="0"/>
              <w:divBdr>
                <w:top w:val="none" w:sz="0" w:space="0" w:color="auto"/>
                <w:left w:val="none" w:sz="0" w:space="0" w:color="auto"/>
                <w:bottom w:val="none" w:sz="0" w:space="0" w:color="auto"/>
                <w:right w:val="none" w:sz="0" w:space="0" w:color="auto"/>
              </w:divBdr>
            </w:div>
            <w:div w:id="1514495601">
              <w:marLeft w:val="0"/>
              <w:marRight w:val="0"/>
              <w:marTop w:val="0"/>
              <w:marBottom w:val="0"/>
              <w:divBdr>
                <w:top w:val="none" w:sz="0" w:space="0" w:color="auto"/>
                <w:left w:val="none" w:sz="0" w:space="0" w:color="auto"/>
                <w:bottom w:val="none" w:sz="0" w:space="0" w:color="auto"/>
                <w:right w:val="none" w:sz="0" w:space="0" w:color="auto"/>
              </w:divBdr>
            </w:div>
            <w:div w:id="1059015057">
              <w:marLeft w:val="0"/>
              <w:marRight w:val="0"/>
              <w:marTop w:val="0"/>
              <w:marBottom w:val="0"/>
              <w:divBdr>
                <w:top w:val="none" w:sz="0" w:space="0" w:color="auto"/>
                <w:left w:val="none" w:sz="0" w:space="0" w:color="auto"/>
                <w:bottom w:val="none" w:sz="0" w:space="0" w:color="auto"/>
                <w:right w:val="none" w:sz="0" w:space="0" w:color="auto"/>
              </w:divBdr>
            </w:div>
            <w:div w:id="682122471">
              <w:marLeft w:val="0"/>
              <w:marRight w:val="0"/>
              <w:marTop w:val="0"/>
              <w:marBottom w:val="0"/>
              <w:divBdr>
                <w:top w:val="none" w:sz="0" w:space="0" w:color="auto"/>
                <w:left w:val="none" w:sz="0" w:space="0" w:color="auto"/>
                <w:bottom w:val="none" w:sz="0" w:space="0" w:color="auto"/>
                <w:right w:val="none" w:sz="0" w:space="0" w:color="auto"/>
              </w:divBdr>
            </w:div>
            <w:div w:id="58335594">
              <w:marLeft w:val="0"/>
              <w:marRight w:val="0"/>
              <w:marTop w:val="0"/>
              <w:marBottom w:val="0"/>
              <w:divBdr>
                <w:top w:val="none" w:sz="0" w:space="0" w:color="auto"/>
                <w:left w:val="none" w:sz="0" w:space="0" w:color="auto"/>
                <w:bottom w:val="none" w:sz="0" w:space="0" w:color="auto"/>
                <w:right w:val="none" w:sz="0" w:space="0" w:color="auto"/>
              </w:divBdr>
            </w:div>
            <w:div w:id="1596328039">
              <w:marLeft w:val="0"/>
              <w:marRight w:val="0"/>
              <w:marTop w:val="0"/>
              <w:marBottom w:val="0"/>
              <w:divBdr>
                <w:top w:val="none" w:sz="0" w:space="0" w:color="auto"/>
                <w:left w:val="none" w:sz="0" w:space="0" w:color="auto"/>
                <w:bottom w:val="none" w:sz="0" w:space="0" w:color="auto"/>
                <w:right w:val="none" w:sz="0" w:space="0" w:color="auto"/>
              </w:divBdr>
            </w:div>
            <w:div w:id="643658591">
              <w:marLeft w:val="0"/>
              <w:marRight w:val="0"/>
              <w:marTop w:val="0"/>
              <w:marBottom w:val="0"/>
              <w:divBdr>
                <w:top w:val="none" w:sz="0" w:space="0" w:color="auto"/>
                <w:left w:val="none" w:sz="0" w:space="0" w:color="auto"/>
                <w:bottom w:val="none" w:sz="0" w:space="0" w:color="auto"/>
                <w:right w:val="none" w:sz="0" w:space="0" w:color="auto"/>
              </w:divBdr>
            </w:div>
            <w:div w:id="1672560806">
              <w:marLeft w:val="0"/>
              <w:marRight w:val="0"/>
              <w:marTop w:val="0"/>
              <w:marBottom w:val="0"/>
              <w:divBdr>
                <w:top w:val="none" w:sz="0" w:space="0" w:color="auto"/>
                <w:left w:val="none" w:sz="0" w:space="0" w:color="auto"/>
                <w:bottom w:val="none" w:sz="0" w:space="0" w:color="auto"/>
                <w:right w:val="none" w:sz="0" w:space="0" w:color="auto"/>
              </w:divBdr>
            </w:div>
            <w:div w:id="1069840173">
              <w:marLeft w:val="0"/>
              <w:marRight w:val="0"/>
              <w:marTop w:val="0"/>
              <w:marBottom w:val="0"/>
              <w:divBdr>
                <w:top w:val="none" w:sz="0" w:space="0" w:color="auto"/>
                <w:left w:val="none" w:sz="0" w:space="0" w:color="auto"/>
                <w:bottom w:val="none" w:sz="0" w:space="0" w:color="auto"/>
                <w:right w:val="none" w:sz="0" w:space="0" w:color="auto"/>
              </w:divBdr>
            </w:div>
            <w:div w:id="137382577">
              <w:marLeft w:val="0"/>
              <w:marRight w:val="0"/>
              <w:marTop w:val="0"/>
              <w:marBottom w:val="0"/>
              <w:divBdr>
                <w:top w:val="none" w:sz="0" w:space="0" w:color="auto"/>
                <w:left w:val="none" w:sz="0" w:space="0" w:color="auto"/>
                <w:bottom w:val="none" w:sz="0" w:space="0" w:color="auto"/>
                <w:right w:val="none" w:sz="0" w:space="0" w:color="auto"/>
              </w:divBdr>
            </w:div>
            <w:div w:id="1531651846">
              <w:marLeft w:val="0"/>
              <w:marRight w:val="0"/>
              <w:marTop w:val="0"/>
              <w:marBottom w:val="0"/>
              <w:divBdr>
                <w:top w:val="none" w:sz="0" w:space="0" w:color="auto"/>
                <w:left w:val="none" w:sz="0" w:space="0" w:color="auto"/>
                <w:bottom w:val="none" w:sz="0" w:space="0" w:color="auto"/>
                <w:right w:val="none" w:sz="0" w:space="0" w:color="auto"/>
              </w:divBdr>
            </w:div>
            <w:div w:id="232130458">
              <w:marLeft w:val="0"/>
              <w:marRight w:val="0"/>
              <w:marTop w:val="0"/>
              <w:marBottom w:val="0"/>
              <w:divBdr>
                <w:top w:val="none" w:sz="0" w:space="0" w:color="auto"/>
                <w:left w:val="none" w:sz="0" w:space="0" w:color="auto"/>
                <w:bottom w:val="none" w:sz="0" w:space="0" w:color="auto"/>
                <w:right w:val="none" w:sz="0" w:space="0" w:color="auto"/>
              </w:divBdr>
            </w:div>
            <w:div w:id="1411385561">
              <w:marLeft w:val="0"/>
              <w:marRight w:val="0"/>
              <w:marTop w:val="0"/>
              <w:marBottom w:val="0"/>
              <w:divBdr>
                <w:top w:val="none" w:sz="0" w:space="0" w:color="auto"/>
                <w:left w:val="none" w:sz="0" w:space="0" w:color="auto"/>
                <w:bottom w:val="none" w:sz="0" w:space="0" w:color="auto"/>
                <w:right w:val="none" w:sz="0" w:space="0" w:color="auto"/>
              </w:divBdr>
            </w:div>
            <w:div w:id="1206134398">
              <w:marLeft w:val="0"/>
              <w:marRight w:val="0"/>
              <w:marTop w:val="0"/>
              <w:marBottom w:val="0"/>
              <w:divBdr>
                <w:top w:val="none" w:sz="0" w:space="0" w:color="auto"/>
                <w:left w:val="none" w:sz="0" w:space="0" w:color="auto"/>
                <w:bottom w:val="none" w:sz="0" w:space="0" w:color="auto"/>
                <w:right w:val="none" w:sz="0" w:space="0" w:color="auto"/>
              </w:divBdr>
            </w:div>
            <w:div w:id="769425174">
              <w:marLeft w:val="0"/>
              <w:marRight w:val="0"/>
              <w:marTop w:val="0"/>
              <w:marBottom w:val="0"/>
              <w:divBdr>
                <w:top w:val="none" w:sz="0" w:space="0" w:color="auto"/>
                <w:left w:val="none" w:sz="0" w:space="0" w:color="auto"/>
                <w:bottom w:val="none" w:sz="0" w:space="0" w:color="auto"/>
                <w:right w:val="none" w:sz="0" w:space="0" w:color="auto"/>
              </w:divBdr>
            </w:div>
            <w:div w:id="892809109">
              <w:marLeft w:val="0"/>
              <w:marRight w:val="0"/>
              <w:marTop w:val="0"/>
              <w:marBottom w:val="0"/>
              <w:divBdr>
                <w:top w:val="none" w:sz="0" w:space="0" w:color="auto"/>
                <w:left w:val="none" w:sz="0" w:space="0" w:color="auto"/>
                <w:bottom w:val="none" w:sz="0" w:space="0" w:color="auto"/>
                <w:right w:val="none" w:sz="0" w:space="0" w:color="auto"/>
              </w:divBdr>
            </w:div>
            <w:div w:id="2104648375">
              <w:marLeft w:val="0"/>
              <w:marRight w:val="0"/>
              <w:marTop w:val="0"/>
              <w:marBottom w:val="0"/>
              <w:divBdr>
                <w:top w:val="none" w:sz="0" w:space="0" w:color="auto"/>
                <w:left w:val="none" w:sz="0" w:space="0" w:color="auto"/>
                <w:bottom w:val="none" w:sz="0" w:space="0" w:color="auto"/>
                <w:right w:val="none" w:sz="0" w:space="0" w:color="auto"/>
              </w:divBdr>
            </w:div>
            <w:div w:id="674840745">
              <w:marLeft w:val="0"/>
              <w:marRight w:val="0"/>
              <w:marTop w:val="0"/>
              <w:marBottom w:val="0"/>
              <w:divBdr>
                <w:top w:val="none" w:sz="0" w:space="0" w:color="auto"/>
                <w:left w:val="none" w:sz="0" w:space="0" w:color="auto"/>
                <w:bottom w:val="none" w:sz="0" w:space="0" w:color="auto"/>
                <w:right w:val="none" w:sz="0" w:space="0" w:color="auto"/>
              </w:divBdr>
            </w:div>
            <w:div w:id="1870486687">
              <w:marLeft w:val="0"/>
              <w:marRight w:val="0"/>
              <w:marTop w:val="0"/>
              <w:marBottom w:val="0"/>
              <w:divBdr>
                <w:top w:val="none" w:sz="0" w:space="0" w:color="auto"/>
                <w:left w:val="none" w:sz="0" w:space="0" w:color="auto"/>
                <w:bottom w:val="none" w:sz="0" w:space="0" w:color="auto"/>
                <w:right w:val="none" w:sz="0" w:space="0" w:color="auto"/>
              </w:divBdr>
            </w:div>
            <w:div w:id="665062194">
              <w:marLeft w:val="0"/>
              <w:marRight w:val="0"/>
              <w:marTop w:val="0"/>
              <w:marBottom w:val="0"/>
              <w:divBdr>
                <w:top w:val="none" w:sz="0" w:space="0" w:color="auto"/>
                <w:left w:val="none" w:sz="0" w:space="0" w:color="auto"/>
                <w:bottom w:val="none" w:sz="0" w:space="0" w:color="auto"/>
                <w:right w:val="none" w:sz="0" w:space="0" w:color="auto"/>
              </w:divBdr>
            </w:div>
            <w:div w:id="9838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hyperlink" Target="https://cr.minzdrav.gov.ru/preview-cr/507_4" TargetMode="Externa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155</Pages>
  <Words>52717</Words>
  <Characters>300491</Characters>
  <Application>Microsoft Office Word</Application>
  <DocSecurity>0</DocSecurity>
  <Lines>2504</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5</cp:revision>
  <dcterms:created xsi:type="dcterms:W3CDTF">2026-08-20T21:52:00Z</dcterms:created>
  <dcterms:modified xsi:type="dcterms:W3CDTF">2026-08-21T01:39:00Z</dcterms:modified>
</cp:coreProperties>
</file>