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F5D" w:rsidRPr="001F5A03" w:rsidRDefault="00867F5D" w:rsidP="00404071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F5A03">
        <w:rPr>
          <w:rFonts w:ascii="Times New Roman" w:hAnsi="Times New Roman" w:cs="Times New Roman"/>
          <w:b/>
          <w:sz w:val="24"/>
          <w:szCs w:val="24"/>
        </w:rPr>
        <w:t>ДЕВЯТЫЙ АРБИТРАЖНЫЙ АПЕЛЛЯЦИОННЫЙ СУД</w:t>
      </w:r>
    </w:p>
    <w:p w:rsidR="00867F5D" w:rsidRPr="001F5A03" w:rsidRDefault="001F5A03" w:rsidP="00404071">
      <w:pPr>
        <w:pStyle w:val="a7"/>
        <w:spacing w:line="360" w:lineRule="auto"/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sz w:val="24"/>
          <w:szCs w:val="24"/>
        </w:rPr>
        <w:instrText xml:space="preserve"> HYPERLINK "https://kad.arbitr.ru/Card/2b604549-e866-4856-8535-aa7dcd1c58db"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867F5D" w:rsidRPr="001F5A03">
        <w:rPr>
          <w:rStyle w:val="a4"/>
          <w:rFonts w:ascii="Times New Roman" w:hAnsi="Times New Roman" w:cs="Times New Roman"/>
          <w:b/>
          <w:sz w:val="24"/>
          <w:szCs w:val="24"/>
        </w:rPr>
        <w:t xml:space="preserve">Постановление </w:t>
      </w:r>
      <w:r w:rsidR="00404071" w:rsidRPr="001F5A03">
        <w:rPr>
          <w:rStyle w:val="a4"/>
          <w:rFonts w:ascii="Times New Roman" w:hAnsi="Times New Roman" w:cs="Times New Roman"/>
          <w:b/>
          <w:sz w:val="24"/>
          <w:szCs w:val="24"/>
        </w:rPr>
        <w:t>9-го ААС</w:t>
      </w:r>
      <w:r w:rsidR="00867F5D" w:rsidRPr="001F5A03">
        <w:rPr>
          <w:rStyle w:val="a4"/>
          <w:rFonts w:ascii="Times New Roman" w:hAnsi="Times New Roman" w:cs="Times New Roman"/>
          <w:b/>
          <w:sz w:val="24"/>
          <w:szCs w:val="24"/>
        </w:rPr>
        <w:t xml:space="preserve"> от 08.06.2026 N 09АП-15274/2026</w:t>
      </w:r>
    </w:p>
    <w:p w:rsidR="00867F5D" w:rsidRPr="001F5A03" w:rsidRDefault="00867F5D" w:rsidP="00404071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A03">
        <w:rPr>
          <w:rStyle w:val="a4"/>
          <w:rFonts w:ascii="Times New Roman" w:hAnsi="Times New Roman" w:cs="Times New Roman"/>
          <w:b/>
          <w:sz w:val="24"/>
          <w:szCs w:val="24"/>
        </w:rPr>
        <w:t>Дело N А40-282617/25</w:t>
      </w:r>
      <w:r w:rsidR="001F5A03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867F5D" w:rsidRPr="001F5A03" w:rsidRDefault="00867F5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>Резолютивная часть постановления объявлена 25 мая 2026 года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>Постановление изготовлено в полном объеме 08 июня 2026 года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>Девятый арбитражный апелляционный суд в составе: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>председательствующего судьи: И.А. Чеботаревой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 xml:space="preserve">судей: С.Л. Захарова, В.А. </w:t>
      </w:r>
      <w:proofErr w:type="spellStart"/>
      <w:r w:rsidRPr="001F5A03">
        <w:rPr>
          <w:rFonts w:ascii="Times New Roman" w:hAnsi="Times New Roman" w:cs="Times New Roman"/>
          <w:i/>
          <w:sz w:val="24"/>
          <w:szCs w:val="24"/>
        </w:rPr>
        <w:t>Яцевой</w:t>
      </w:r>
      <w:proofErr w:type="spellEnd"/>
      <w:r w:rsidRPr="001F5A03">
        <w:rPr>
          <w:rFonts w:ascii="Times New Roman" w:hAnsi="Times New Roman" w:cs="Times New Roman"/>
          <w:i/>
          <w:sz w:val="24"/>
          <w:szCs w:val="24"/>
        </w:rPr>
        <w:t>,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>при ведении протокола секретарем судебного заседания А.А. Леликовым,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>рассмотрев в открытом судебном заседании в зале N 13 апелляционную жалобу ОСФР по г. Москве и Московской области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>на решение Арбитражного суда города Москвы от 12.02.2026 по делу N А40-282617/25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>по заявлению ООО "</w:t>
      </w:r>
      <w:proofErr w:type="spellStart"/>
      <w:r w:rsidRPr="001F5A03">
        <w:rPr>
          <w:rFonts w:ascii="Times New Roman" w:hAnsi="Times New Roman" w:cs="Times New Roman"/>
          <w:i/>
          <w:sz w:val="24"/>
          <w:szCs w:val="24"/>
        </w:rPr>
        <w:t>Вектура</w:t>
      </w:r>
      <w:proofErr w:type="spellEnd"/>
      <w:r w:rsidRPr="001F5A03">
        <w:rPr>
          <w:rFonts w:ascii="Times New Roman" w:hAnsi="Times New Roman" w:cs="Times New Roman"/>
          <w:i/>
          <w:sz w:val="24"/>
          <w:szCs w:val="24"/>
        </w:rPr>
        <w:t>"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>к Отделению Фонда пенсионного и социального страхования Российской Федерации по г. Москве и Московской области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 xml:space="preserve">о признании </w:t>
      </w:r>
      <w:proofErr w:type="gramStart"/>
      <w:r w:rsidRPr="001F5A03">
        <w:rPr>
          <w:rFonts w:ascii="Times New Roman" w:hAnsi="Times New Roman" w:cs="Times New Roman"/>
          <w:i/>
          <w:sz w:val="24"/>
          <w:szCs w:val="24"/>
        </w:rPr>
        <w:t>недействительным</w:t>
      </w:r>
      <w:proofErr w:type="gramEnd"/>
      <w:r w:rsidRPr="001F5A03">
        <w:rPr>
          <w:rFonts w:ascii="Times New Roman" w:hAnsi="Times New Roman" w:cs="Times New Roman"/>
          <w:i/>
          <w:sz w:val="24"/>
          <w:szCs w:val="24"/>
        </w:rPr>
        <w:t xml:space="preserve"> решения, об </w:t>
      </w:r>
      <w:proofErr w:type="spellStart"/>
      <w:r w:rsidRPr="001F5A03">
        <w:rPr>
          <w:rFonts w:ascii="Times New Roman" w:hAnsi="Times New Roman" w:cs="Times New Roman"/>
          <w:i/>
          <w:sz w:val="24"/>
          <w:szCs w:val="24"/>
        </w:rPr>
        <w:t>обязании</w:t>
      </w:r>
      <w:proofErr w:type="spellEnd"/>
      <w:r w:rsidRPr="001F5A03">
        <w:rPr>
          <w:rFonts w:ascii="Times New Roman" w:hAnsi="Times New Roman" w:cs="Times New Roman"/>
          <w:i/>
          <w:sz w:val="24"/>
          <w:szCs w:val="24"/>
        </w:rPr>
        <w:t>,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>при участии: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 xml:space="preserve">от заявителя: Михалев А.В. - </w:t>
      </w:r>
      <w:proofErr w:type="gramStart"/>
      <w:r w:rsidRPr="001F5A03">
        <w:rPr>
          <w:rFonts w:ascii="Times New Roman" w:hAnsi="Times New Roman" w:cs="Times New Roman"/>
          <w:i/>
          <w:sz w:val="24"/>
          <w:szCs w:val="24"/>
        </w:rPr>
        <w:t xml:space="preserve">по </w:t>
      </w:r>
      <w:proofErr w:type="spellStart"/>
      <w:r w:rsidRPr="001F5A03">
        <w:rPr>
          <w:rFonts w:ascii="Times New Roman" w:hAnsi="Times New Roman" w:cs="Times New Roman"/>
          <w:i/>
          <w:sz w:val="24"/>
          <w:szCs w:val="24"/>
        </w:rPr>
        <w:t>дов</w:t>
      </w:r>
      <w:proofErr w:type="spellEnd"/>
      <w:proofErr w:type="gramEnd"/>
      <w:r w:rsidRPr="001F5A03">
        <w:rPr>
          <w:rFonts w:ascii="Times New Roman" w:hAnsi="Times New Roman" w:cs="Times New Roman"/>
          <w:i/>
          <w:sz w:val="24"/>
          <w:szCs w:val="24"/>
        </w:rPr>
        <w:t>. от 10.06.2025</w:t>
      </w:r>
    </w:p>
    <w:p w:rsidR="00404071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 xml:space="preserve">от заинтересованного лица: не явился, </w:t>
      </w:r>
      <w:proofErr w:type="gramStart"/>
      <w:r w:rsidRPr="001F5A03">
        <w:rPr>
          <w:rFonts w:ascii="Times New Roman" w:hAnsi="Times New Roman" w:cs="Times New Roman"/>
          <w:i/>
          <w:sz w:val="24"/>
          <w:szCs w:val="24"/>
        </w:rPr>
        <w:t>извещен</w:t>
      </w:r>
      <w:proofErr w:type="gramEnd"/>
      <w:r w:rsidRPr="001F5A03">
        <w:rPr>
          <w:rFonts w:ascii="Times New Roman" w:hAnsi="Times New Roman" w:cs="Times New Roman"/>
          <w:i/>
          <w:sz w:val="24"/>
          <w:szCs w:val="24"/>
        </w:rPr>
        <w:t>;</w:t>
      </w:r>
      <w:r w:rsidR="00404071" w:rsidRPr="001F5A0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67F5D" w:rsidRPr="001F5A03" w:rsidRDefault="00867F5D" w:rsidP="00404071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1F5A03">
        <w:rPr>
          <w:rFonts w:ascii="Times New Roman" w:hAnsi="Times New Roman" w:cs="Times New Roman"/>
          <w:i/>
          <w:sz w:val="24"/>
          <w:szCs w:val="24"/>
        </w:rPr>
        <w:t>установил:</w:t>
      </w:r>
    </w:p>
    <w:p w:rsidR="00867F5D" w:rsidRPr="001F5A03" w:rsidRDefault="00867F5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67F5D" w:rsidRPr="001F5A03" w:rsidRDefault="00867F5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 xml:space="preserve">ООО "ВЕКТУРА" (далее - общество, заявитель) обратилось в Арбитражный суд города Москвы с заявлением к Отделению Фонда пенсионного и социального страхования Российской Федерации по г. Москве и Московской области (далее - фонд, заинтересованное лицо) о признании недействительным решения от 22.08.2025 N РСН 7719 000027, об </w:t>
      </w:r>
      <w:proofErr w:type="spellStart"/>
      <w:r w:rsidRPr="001F5A03">
        <w:rPr>
          <w:rFonts w:ascii="Times New Roman" w:hAnsi="Times New Roman" w:cs="Times New Roman"/>
          <w:sz w:val="24"/>
          <w:szCs w:val="24"/>
        </w:rPr>
        <w:t>обязании</w:t>
      </w:r>
      <w:proofErr w:type="spellEnd"/>
      <w:r w:rsidRPr="001F5A03">
        <w:rPr>
          <w:rFonts w:ascii="Times New Roman" w:hAnsi="Times New Roman" w:cs="Times New Roman"/>
          <w:sz w:val="24"/>
          <w:szCs w:val="24"/>
        </w:rPr>
        <w:t xml:space="preserve"> принять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об установлении заявителю на 2026 год надбавку к страховому тарифу на обязательное социальное страхование от несчастных случаев на производстве и профессиональных заболеваний в размере 5 процентов, а также о взыскании 50 000 руб. расходов по оплате государственной пошлины.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Решением суда от 12.02.2026 заявленные требования удовлетворены в полном объеме.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 xml:space="preserve">Не согласившись с принятым по делу судебным актом, заинтересованное лицо обратилось с апелляционной жалобой, в которой просит отменить решение суда первой инстанции и принять по делу новый судебный акт об отказе в удовлетворении заявленных требований.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С учетом установления факта предоставления обществом недостоверных сведений о фактическом состоянии охраны труда Фондом обоснованно пересмотрен размер надбавки к страховому тарифу и на основании Решения РСН 7719 000027 от 22.08.2025 года определен в размере 30% к страховому тарифу на обязательное социальное страхование от несчастных случаев на производстве и профессиональных заболеваний на 2026 год.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Размер страхового тариф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а ООО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F5A03">
        <w:rPr>
          <w:rFonts w:ascii="Times New Roman" w:hAnsi="Times New Roman" w:cs="Times New Roman"/>
          <w:sz w:val="24"/>
          <w:szCs w:val="24"/>
        </w:rPr>
        <w:t>Вектура</w:t>
      </w:r>
      <w:proofErr w:type="spellEnd"/>
      <w:r w:rsidRPr="001F5A03">
        <w:rPr>
          <w:rFonts w:ascii="Times New Roman" w:hAnsi="Times New Roman" w:cs="Times New Roman"/>
          <w:sz w:val="24"/>
          <w:szCs w:val="24"/>
        </w:rPr>
        <w:t>" на 2026 год, с учетом установленной надбавки к страховому тарифу на обязательное социальное страхование от несчастных случаев на производстве и профессиональных заболеваний, составляет 0,78%.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В судебном заседании представитель заявителя возражал против удовлетворения апелляционной жалобы, представил отзыв на апелляционную жалобу.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 xml:space="preserve">Представитель заинтересованного лица в судебное заседание не явился, о месте и времени его проведения извещен надлежащим образом, в том числе, публично, путем размещения информации на официальном сайте суда www.9aas.arbitr.ru, в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с чем </w:t>
      </w:r>
      <w:r w:rsidRPr="001F5A03">
        <w:rPr>
          <w:rFonts w:ascii="Times New Roman" w:hAnsi="Times New Roman" w:cs="Times New Roman"/>
          <w:sz w:val="24"/>
          <w:szCs w:val="24"/>
        </w:rPr>
        <w:lastRenderedPageBreak/>
        <w:t>апелляционная жалоба рассматривается в его отсутствие, исходя из норм статей 121, 123, 156 АПК РФ.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Проверив законность и обоснованность решения в соответствии со ст. ст. 266 и 268 АПК РФ, Девятый арбитражный апелляционный суд с учетом исследованных доказательств по делу, доводов апелляционной жалобы полагает необходимым оставить обжалуемый судебный акт без изменения, основываясь на следующем.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Как следует из материалов дела и установлено судом первой инстанции, 22 августа 2025 года фондом принято решение N РСН 7719 000027 (далее - Решение) об установлении Заявителю на 2026 год надбавки к страховому тарифу на обязательное социальное страхование от несчастных случаев на производстве и профессиональных заболеваний в размере 30 процентов.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К Решению прилагался расчет надбавки к страховому тарифу на обязательное социальное страхование от несчастных случаев на производстве и профессиональных заболеваний.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Расчет надбавки к страховому тарифу на обязательное социальное страхование от несчастных случаев на производстве и профессиональных заболеваний осуществлялся на основании методики, утвержденной Приказом Минтруда России от 1 августа 2012 г. N 39н "Об утверждении методика расчета скидок и надбавок к страховым тарифам на обязательное социальное страхование от несчастных случаев на производстве и профессиональных заболеваний".</w:t>
      </w:r>
      <w:proofErr w:type="gramEnd"/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 xml:space="preserve">Расчет надбавки производится по формуле, в которой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используются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в том числе следующие показатели: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- q21 - число работников, прошедших обязательные предварительные и периодические медицинские осмотры в соответствии с действующими нормативными правовыми актами на 1 января текущего года;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- q22 - число всех работников, подлежащих обязательным предварительным и периодическим медицинским осмотрам;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При осуществлении расчета Фондом использовались следующие значения: q21-8, q22 - 25.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 xml:space="preserve">Названные значения показателей q21 и q22 Фондом использованы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предоставленных Заявителем Фонду форме ЕФС-1 за 1 квартал 2025 от 07.04.25 и 1 полугодие 2025 г. от 07.07.25 (подраздел 2.3).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При проведении проверки расчета Заявителем была обнаружена неточность в поданных формах ЕФС-1, а именно: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- Фактическая общая численность работников, подлежащих обязательным предварительным и периодическим осмотрам (q22), составляет 68 человек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- Фактическая численность работников, прошедших обязательные предварительные и периодические медицинские осмотры (q21), составляет 61 человек.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 xml:space="preserve">Согласно пункту 42 Приказа </w:t>
      </w:r>
      <w:proofErr w:type="spellStart"/>
      <w:r w:rsidRPr="001F5A03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1F5A03">
        <w:rPr>
          <w:rFonts w:ascii="Times New Roman" w:hAnsi="Times New Roman" w:cs="Times New Roman"/>
          <w:sz w:val="24"/>
          <w:szCs w:val="24"/>
        </w:rPr>
        <w:t xml:space="preserve"> России от 12.04.2011 N 302н (ред. от 18.05.2020)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</w:t>
      </w:r>
      <w:r w:rsidRPr="001F5A03">
        <w:rPr>
          <w:rFonts w:ascii="Times New Roman" w:hAnsi="Times New Roman" w:cs="Times New Roman"/>
          <w:sz w:val="24"/>
          <w:szCs w:val="24"/>
        </w:rPr>
        <w:lastRenderedPageBreak/>
        <w:t>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",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и представителями работодателя, составляет заключительный акт.</w:t>
      </w:r>
      <w:proofErr w:type="gramEnd"/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 xml:space="preserve">Заключительный акт утверждается председателем врачебной комиссии и заверяется печатью медицинской организации (при наличии).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 xml:space="preserve">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</w:t>
      </w:r>
      <w:proofErr w:type="spellStart"/>
      <w:r w:rsidRPr="001F5A03">
        <w:rPr>
          <w:rFonts w:ascii="Times New Roman" w:hAnsi="Times New Roman" w:cs="Times New Roman"/>
          <w:sz w:val="24"/>
          <w:szCs w:val="24"/>
        </w:rPr>
        <w:t>профпатологии</w:t>
      </w:r>
      <w:proofErr w:type="spellEnd"/>
      <w:r w:rsidRPr="001F5A03">
        <w:rPr>
          <w:rFonts w:ascii="Times New Roman" w:hAnsi="Times New Roman" w:cs="Times New Roman"/>
          <w:sz w:val="24"/>
          <w:szCs w:val="24"/>
        </w:rPr>
        <w:t xml:space="preserve"> субъекта Российской Федерации, Фонд социального страхования, в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 (пункты 44 и 45 Приказа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F5A03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1F5A03">
        <w:rPr>
          <w:rFonts w:ascii="Times New Roman" w:hAnsi="Times New Roman" w:cs="Times New Roman"/>
          <w:sz w:val="24"/>
          <w:szCs w:val="24"/>
        </w:rPr>
        <w:t xml:space="preserve"> России от 12.04.2011 N 302н).</w:t>
      </w:r>
      <w:proofErr w:type="gramEnd"/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заключительного акта от 20.12.2024: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- численность работников, подлежащих периодическому медицинскому осмотру - 48 человек (п. 4);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- численность работников, прошедших периодический медицинский осмотр - 41 человек (п. 5)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Также в 2024 Заявителем были проведены предварительные медицинские осмотры 20 принятых в указанном году на работу работников Заявителя (медицинские заключения по результатам проведения предварительного медицинского осмотра прилагаются).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Таким образом, фактическая общая численность работников, подлежащих обязательным предварительным и периодическим осмотрам (q22), составляет 68 человек (48 +20); фактическая численность работников, прошедших обязательные предварительные и периодические медицинские осмотры (q21), составляет 61 человек (41 + 20).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Заключительный акт и медицинские заключения оформлены в соответствии с требованиями законодательства. Соответственно, каких-либо оснований для принятия в расчет иного количества работников данной категории у Заявителя не имелось.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При использовании скорректированных показателей значений q21 и q22 размер надбавки к страховому тарифу на обязательное социальное страхование от несчастных случаев на производстве и профессиональных заболеваний составляет 5% (расчет прилагается).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Заявителем 27.08.2025 и 28.08.2025 в адрес Фонда были направлены корректировочные формы ЕФС-1 Подраздела 2.3 за 1 квартал и полугодие 2025 года соответственно с указанием корректных данных по строкам: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- "Общая численность работников, подлежащих обязательным предварительным и периодическим осмотрам (чел.)" - 68 человек.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lastRenderedPageBreak/>
        <w:t>- "Численность работников, прошедших обязательные предварительные и периодические медицинские осмотры (чел.)" - 61 человек.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Согласно отметок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на поданных формах ЕФС-1, они были приняты Фондом 27.08.2025 и 28.08.2025 соответственно.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Заявителем 03.09.2025 подана в Фонд жалоба на Решение с просьбой отменить его и произвести перерасчет надбавки к страховому тарифу на обязательное социальное страхование от несчастных случаев на производстве и профессиональных заболеваний с учетом поданных Заявителем корректировочных форм ЕФС-1 за 1 квартал и полугодие 2025 года (</w:t>
      </w:r>
      <w:proofErr w:type="spellStart"/>
      <w:r w:rsidRPr="001F5A03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1F5A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N 554 от 03.09.25).</w:t>
      </w:r>
      <w:proofErr w:type="gramEnd"/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К жалобе прилагались вышеназванные документы, подтверждающие скорректированные показатели значений q21 и q22.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 xml:space="preserve">Жалоба была подана в форме электронного документа, подписанного усиленной квалифицированной подписью генерального директора Заявителя </w:t>
      </w:r>
      <w:proofErr w:type="spellStart"/>
      <w:r w:rsidRPr="001F5A03">
        <w:rPr>
          <w:rFonts w:ascii="Times New Roman" w:hAnsi="Times New Roman" w:cs="Times New Roman"/>
          <w:sz w:val="24"/>
          <w:szCs w:val="24"/>
        </w:rPr>
        <w:t>Костениной</w:t>
      </w:r>
      <w:proofErr w:type="spellEnd"/>
      <w:r w:rsidRPr="001F5A03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Письмом N 14-22-14/317516 от 05.09.25 Фонд уведомил Заявителя, что Решение оставлено в силе.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При указанных обстоятельствах заявитель обратился в Арбитражный суд г. Москвы с соответствующим заявлением.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Удовлетворяя заявленные требования, суд первой инстанции исходил из того, что установление надбавки к страховому тарифу без учета фактического количества сотрудников, подлежащих осмотрам и прошедших обязательные предварительные и периодические осмотры, влечет возложение на Заявителя необоснованного финансового бремени по уплате повышенного размера страховых взносов, что является нарушением его прав и законных интересов.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Соглашаясь с выводами суда первой инстанции и отклоняя доводы апелляционной жалобы, суд апелляционной инстанции исходит из следующего.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Федеральный закон от N 125-ФЗ "Об обязательном социальном страховании от несчастных случаев на производстве и профессиональных заболеваний" (далее - Федеральный закон N 125-ФЗ) устанавливает правовые, экономические и организационные основы обязательного социального страхования от несчастных случаев на производстве и профессиональных заболеваний и определяет порядок возмещения вреда, причиненного жизни и здоровью работника при исполнении им обязанностей по трудовому договору (контракту).</w:t>
      </w:r>
      <w:proofErr w:type="gramEnd"/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Статьей 4 Федерального закона N 125-ФЗ определено, что среди основных принципов обязательного социального страхования от несчастных случаев на производстве и профессиональных заболеваний значится обязательность уплаты страхователями страховых взносов.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Согласно пункту 1 статьи 18 Федерального закона N 125-ФЗ, страховщик имеет право устанавливать страхователям в порядке, определяемом Правительством Российской Федерации, надбавки и скидки к страховому тарифу.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В силу части 1 статьи 22 Федерального закона N 125-ФЗ страховые взносы уплачиваются страхователем исходя из страхового тарифа с учетом скидок или надбавок, устанавливаемых страховщиком.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lastRenderedPageBreak/>
        <w:t>Размер скидки или надбавки рассчитываются в соответствии с Правилами установления страхователям скидок и надбавок к страховым тарифам на обязательное социальное страхование от несчастных случаев на производстве и профессиональных заболеваний (далее - Правила) утверждены Постановлением Правительства Российской Федерации от 30.05.2012 N 524.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В соответствии с пунктами 2 и 3 Правил размер указанной скидки или надбавки рассчитывается по итогам работы страхователя за три года и устанавливается страхователю с учетом состояния охраны труда (включая результаты специальной оценки условий труда, проведенных обязательных предварительных и периодических медицинских осмотров) и расходов на обеспечение по страхованию. Размер установленной скидки или надбавки не может превышать 40 процентов страхового тарифа, установленного страхователю.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Размер надбавки рассчитывается страховщиком в соответствии с Методикой расчета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утвержденной приказом Минтруда России от 01.08.2012 N 39н (далее - Методика), исходя из следующих основных показателей, определенных по итогам деятельности страхователей за 3 года, предшествующих текущему году:</w:t>
      </w:r>
      <w:proofErr w:type="gramEnd"/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а) отношение суммы обеспечения по страхованию в связи со всеми произошедшими у страхователя страховыми случаями к начисленной сумме страховых взносов (показатель "а");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б) количество страховых случаев у страхователя на 1 тыс. работающих (показатель "Ь");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в) количество дней временной нетрудоспособности у страхователя на 1 несчастный случай, признанный страховым, исключая случаи со смертельным исходом (показатель "с").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Пунктом 2 Методики установлено, что для расчета коэффициентов, в том числе используются сведения о результатах проведения специальной оценки условий труда и проведенных обязательных предварительных и периодических медицинских осмотрах, отраженных страхователем в сведениях о начисленных страховых взносах в составе единой формы сведений, предусмотренной статьей 8 Федерального закона от 1 апреля 1996 года N 27-ФЗ "Об индивидуальном (персонифицированном) учете в системах обязательного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пенсионного страхования и обязательного социального страхования" (далее - Сведения).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 xml:space="preserve">В соответствии с пунктом 6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Правил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скидка или надбавка устанавливается страховщиком страхователю, если все указанные в пункте 3 настоящих Правил показатели меньше (скидка) или больше (надбавка) аналогичных показателей по виду экономической деятельности, к которому отнесен основной вид деятельности страхователя. При этом надбавка также устанавливается в случае наличия у страхователя в предшествующем финансовом году группового несчастного случая (2 человека и более) со смертельным исходом, произошедшего не по вине третьих лиц.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Значения основных показателей по видам экономической деятельности на очередной финансовый год рассчитываются и утверждаются страховщиком по согласованию с Министерством труда и социальной защиты Российской Федерации не позднее 1 июня текущего года.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lastRenderedPageBreak/>
        <w:t>Фондом пенсионного и социального страхования Российской Федерации был издан приказ от 31.05.2023 N 944 "Об утверждении значений основных показателей по видам экономической деятельности на 2024 год".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Надбавка к страховым тарифам на обязательное социальное страхование от несчастных случаев на производстве и профессиональных заболеваний рассчитана по итогам деятельности СГУПС за 3 года в соответствии с Методикой расчета скидок и надбавок к страховым тарифам на обязательное социальное страхование от несчастных случаев на производстве и профессиональных заболеваний, утвержденной приказом Министерства труда и социальной защиты Российской Федерации от 01.08.2012 N 39н.</w:t>
      </w:r>
      <w:proofErr w:type="gramEnd"/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Пунктом 3 Правил N 524 установлено, что размер скидки и надбавки рассчитывается страховщиком в соответствии с методикой расчета скидок и надбавок к страховым тарифам на профессиональных заболеваний, утверждаемой Министерством труда и социальной защиты Российской Федерации по согласованию с Министерством финансов Российской Федерации и страховщиком.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Приказом Минтруда России от 01.08.2012 N 39н утверждена Методика расчета скидок и надбавок к страховым тарифам на обязательное социальное страхование о" несчастных случаев на производстве и профессиональных заболеваний (далее - Методика), согласно которой скидки и надбавки к страховым тарифам рассчитываются Фондом пенсионного и социального страхования Российской Федерации в текущем финансовом году и устанавливаются на очередной финансовый год в размерах не более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40 процентов установленного страхового тарифа по итогам деятельности страхователя за три года, предшествующих текущему, исходя из основных показателей с учетом состояния охраны труда на основании сведений о результатах аттестации рабочих мест по условиям труда и сведений о проведенных обязательных предварительных и периодических медицинских осмотрах по состоянию на 1 января текущего календарного года (пункт 2 Методики).</w:t>
      </w:r>
      <w:proofErr w:type="gramEnd"/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Закон N 125, нормативные правовые акты, принятые во исполнение этого Закона, не содержат запрета на пересмотр размера надбавки к страховому тарифу на обязательное социальное страхование от несчастных случаев на производстве и профессиональных заболеваний в случае подачи страхователем уточненных отчетов ЕФС-1.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 xml:space="preserve">Отсутствие в нормативных правовых актах утвержденной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процедуры порядка пересмотра размера страхового тарифа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на основе представленных Заявителем (страхователем) уточненных сведений не является основанием для возложения на страхователя обязанности по уплате страховых взносов в повышенном размере.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Соответственно, Заявитель не может быть лишен права производить уплату страховых взносов в соответствии с тарифом и надбавкой, установленными исходя из действительного состояния охраны труда (включая результаты проведенных обязательных предварительных и периодических осмотров).</w:t>
      </w:r>
      <w:proofErr w:type="gramEnd"/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>, суд первой инстанции пришел к правомерному выводу об удовлетворении заявленных требований.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В апелляционной жалобе фонд со ссылкой на п. 1.4 ст. 24 Федерального закона от 24.07.1998 N 125-ФЗ "Об обязательном социальном страховании от несчастных случаев на производстве и профессиональных заболеваний" (далее ФЗ N 125) указывает, что если уточненные сведения о начисленных страховых взносах представляются в территориальный орган страховщика после истечения срока подачи сведений о начисленных страховых взносах и срока уплаты страховых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 xml:space="preserve">взносов, то страхователь освобождается от ответственности в случае представления уточненных сведений о начисленных страховых взносах до момента, когда страхователь узнал об обнаружении </w:t>
      </w:r>
      <w:r w:rsidRPr="001F5A03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территориальным органом страховщика </w:t>
      </w:r>
      <w:proofErr w:type="spellStart"/>
      <w:r w:rsidRPr="001F5A03">
        <w:rPr>
          <w:rFonts w:ascii="Times New Roman" w:hAnsi="Times New Roman" w:cs="Times New Roman"/>
          <w:sz w:val="24"/>
          <w:szCs w:val="24"/>
        </w:rPr>
        <w:t>неотражения</w:t>
      </w:r>
      <w:proofErr w:type="spellEnd"/>
      <w:r w:rsidRPr="001F5A03">
        <w:rPr>
          <w:rFonts w:ascii="Times New Roman" w:hAnsi="Times New Roman" w:cs="Times New Roman"/>
          <w:sz w:val="24"/>
          <w:szCs w:val="24"/>
        </w:rPr>
        <w:t xml:space="preserve"> или неполноты отражения сведений в сведениях о начисленных страховых взносах, а также ошибок, приводящих к занижению подлежащей уплате суммы страховых взносов, либо о назначении выездной проверки за данный период, при условии, что до представления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уточненных сведений о начисленных страховых взносах он уплатил недостающую сумму страховых взносов и соответствующие ей пени.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Данные доводы несостоятельны, так как основаны на неверном толковании п. 1.4 ст. 24 ФЗ N 125, а также указанная норма не регулирует отношения по предмету настоящего спора.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Данная норма регулирует случай освобождения страхователя от ответственности в случае предоставления недостоверных данных, которое привело к занижению подлежащей уплате страховых взносов.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 xml:space="preserve">В настоящем случае первоначальное предоставление неточных сведений со стороны Заявителя не привело к занижению подлежащей уплате суммы страховых взносов, никаких мер ответственности к нему применено </w:t>
      </w:r>
      <w:proofErr w:type="gramStart"/>
      <w:r w:rsidRPr="001F5A03">
        <w:rPr>
          <w:rFonts w:ascii="Times New Roman" w:hAnsi="Times New Roman" w:cs="Times New Roman"/>
          <w:sz w:val="24"/>
          <w:szCs w:val="24"/>
        </w:rPr>
        <w:t>не было и соответственно он не заявлял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 xml:space="preserve"> об их отмене.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Предметом настоящего спора не является вопрос освобождения Заявителя от мер ответственности.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5A03">
        <w:rPr>
          <w:rFonts w:ascii="Times New Roman" w:hAnsi="Times New Roman" w:cs="Times New Roman"/>
          <w:sz w:val="24"/>
          <w:szCs w:val="24"/>
        </w:rPr>
        <w:t>Учитывая вышеизложенное, доводы апелляционной жалобы о несогласии с оценкой суда первой инстанции имеющихся в деле доказательств, по сути, направлены на переоценку установленных судом фактических обстоятельств дела и имеющихся в деле доказательств, не опровергают выводов суда первой инстанции, не свидетельствуют о неправильном применении и (или) нарушении им норм материального и (или) процессуального права, и, по сути, выражают несогласие с указанными выводами</w:t>
      </w:r>
      <w:proofErr w:type="gramEnd"/>
      <w:r w:rsidRPr="001F5A03">
        <w:rPr>
          <w:rFonts w:ascii="Times New Roman" w:hAnsi="Times New Roman" w:cs="Times New Roman"/>
          <w:sz w:val="24"/>
          <w:szCs w:val="24"/>
        </w:rPr>
        <w:t>, что не может являться основанием для отмены обжалуемого судебного акта.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Нарушений норм процессуального права, предусмотренных ч. 4 ст. 270 АПК РФ и влекущих безусловную отмену судебного акта, коллегией не установлено.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На основании изложенного и руководствуясь ст. ст. 266, 268, 269, 271 Арбитражного процессуального кодекса Российской Федерации, Девятый арбитражный апелляционный суд</w:t>
      </w:r>
    </w:p>
    <w:p w:rsidR="00867F5D" w:rsidRPr="001F5A03" w:rsidRDefault="00867F5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67F5D" w:rsidRPr="001F5A03" w:rsidRDefault="00867F5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постановил:</w:t>
      </w:r>
    </w:p>
    <w:p w:rsidR="00867F5D" w:rsidRPr="001F5A03" w:rsidRDefault="00867F5D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67F5D" w:rsidRPr="001F5A03" w:rsidRDefault="00867F5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решение Арбитражного суда города Москвы от 12.02.2026 по делу N А40-282617/25 оставить без изменения, апелляционную жалобу - без удовлетворения.</w:t>
      </w:r>
    </w:p>
    <w:p w:rsidR="00867F5D" w:rsidRPr="001F5A03" w:rsidRDefault="00867F5D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F5A03">
        <w:rPr>
          <w:rFonts w:ascii="Times New Roman" w:hAnsi="Times New Roman" w:cs="Times New Roman"/>
          <w:sz w:val="24"/>
          <w:szCs w:val="24"/>
        </w:rPr>
        <w:t>Постановление Девятого арбитражного апелляционного суда вступает в законную силу со дня его принятия и может быть обжаловано в течение двух месяцев со дня изготовления постановления в полном объеме в Арбитражный суд Московского округа.</w:t>
      </w:r>
    </w:p>
    <w:p w:rsidR="00867F5D" w:rsidRPr="001F5A03" w:rsidRDefault="00867F5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67F5D" w:rsidRPr="001F5A03" w:rsidRDefault="00867F5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5A03">
        <w:rPr>
          <w:rFonts w:ascii="Times New Roman" w:hAnsi="Times New Roman" w:cs="Times New Roman"/>
          <w:b/>
          <w:sz w:val="24"/>
          <w:szCs w:val="24"/>
        </w:rPr>
        <w:t>Председательствующий судья</w:t>
      </w:r>
    </w:p>
    <w:p w:rsidR="00867F5D" w:rsidRPr="001F5A03" w:rsidRDefault="00867F5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5A03">
        <w:rPr>
          <w:rFonts w:ascii="Times New Roman" w:hAnsi="Times New Roman" w:cs="Times New Roman"/>
          <w:b/>
          <w:sz w:val="24"/>
          <w:szCs w:val="24"/>
        </w:rPr>
        <w:t>И.А.ЧЕБОТАРЕВА</w:t>
      </w:r>
    </w:p>
    <w:p w:rsidR="00867F5D" w:rsidRPr="001F5A03" w:rsidRDefault="00867F5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67F5D" w:rsidRPr="001F5A03" w:rsidRDefault="00867F5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5A03">
        <w:rPr>
          <w:rFonts w:ascii="Times New Roman" w:hAnsi="Times New Roman" w:cs="Times New Roman"/>
          <w:b/>
          <w:sz w:val="24"/>
          <w:szCs w:val="24"/>
        </w:rPr>
        <w:t>Судьи</w:t>
      </w:r>
    </w:p>
    <w:p w:rsidR="00867F5D" w:rsidRPr="001F5A03" w:rsidRDefault="00867F5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5A03">
        <w:rPr>
          <w:rFonts w:ascii="Times New Roman" w:hAnsi="Times New Roman" w:cs="Times New Roman"/>
          <w:b/>
          <w:sz w:val="24"/>
          <w:szCs w:val="24"/>
        </w:rPr>
        <w:t>С.Л.ЗАХАРОВ</w:t>
      </w:r>
    </w:p>
    <w:p w:rsidR="00867F5D" w:rsidRPr="001F5A03" w:rsidRDefault="00867F5D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5A03">
        <w:rPr>
          <w:rFonts w:ascii="Times New Roman" w:hAnsi="Times New Roman" w:cs="Times New Roman"/>
          <w:b/>
          <w:sz w:val="24"/>
          <w:szCs w:val="24"/>
        </w:rPr>
        <w:t>В.А.ЯЦЕВА</w:t>
      </w:r>
    </w:p>
    <w:bookmarkEnd w:id="0"/>
    <w:p w:rsidR="00867F5D" w:rsidRPr="001F5A03" w:rsidRDefault="00867F5D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867F5D" w:rsidRPr="001F5A03" w:rsidSect="00DB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057"/>
    <w:multiLevelType w:val="multilevel"/>
    <w:tmpl w:val="34FAA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42E5A"/>
    <w:multiLevelType w:val="multilevel"/>
    <w:tmpl w:val="D94A7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512F5"/>
    <w:multiLevelType w:val="multilevel"/>
    <w:tmpl w:val="0A748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B57387"/>
    <w:multiLevelType w:val="multilevel"/>
    <w:tmpl w:val="B49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276BF"/>
    <w:multiLevelType w:val="multilevel"/>
    <w:tmpl w:val="86DA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1328AC"/>
    <w:multiLevelType w:val="multilevel"/>
    <w:tmpl w:val="29200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9C1A2B"/>
    <w:multiLevelType w:val="multilevel"/>
    <w:tmpl w:val="0E2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A54954"/>
    <w:multiLevelType w:val="multilevel"/>
    <w:tmpl w:val="D6F2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1002B1"/>
    <w:multiLevelType w:val="multilevel"/>
    <w:tmpl w:val="C4847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1C0C86"/>
    <w:multiLevelType w:val="multilevel"/>
    <w:tmpl w:val="485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7686A"/>
    <w:multiLevelType w:val="multilevel"/>
    <w:tmpl w:val="D5D4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B63A7"/>
    <w:multiLevelType w:val="multilevel"/>
    <w:tmpl w:val="AFFA7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DE103E"/>
    <w:multiLevelType w:val="multilevel"/>
    <w:tmpl w:val="99E6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7071D6"/>
    <w:multiLevelType w:val="multilevel"/>
    <w:tmpl w:val="E5DE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AC3F22"/>
    <w:multiLevelType w:val="multilevel"/>
    <w:tmpl w:val="714C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3F0EBF"/>
    <w:multiLevelType w:val="multilevel"/>
    <w:tmpl w:val="AC1AE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2092"/>
    <w:multiLevelType w:val="multilevel"/>
    <w:tmpl w:val="688C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721F5"/>
    <w:multiLevelType w:val="multilevel"/>
    <w:tmpl w:val="EBE8A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086A7D"/>
    <w:multiLevelType w:val="multilevel"/>
    <w:tmpl w:val="2E2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EA4C7F"/>
    <w:multiLevelType w:val="multilevel"/>
    <w:tmpl w:val="BA9A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B4897"/>
    <w:multiLevelType w:val="multilevel"/>
    <w:tmpl w:val="34ECC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481E5D"/>
    <w:multiLevelType w:val="multilevel"/>
    <w:tmpl w:val="F5D0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8743C5"/>
    <w:multiLevelType w:val="multilevel"/>
    <w:tmpl w:val="503E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C91799"/>
    <w:multiLevelType w:val="multilevel"/>
    <w:tmpl w:val="10CE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21"/>
  </w:num>
  <w:num w:numId="4">
    <w:abstractNumId w:val="19"/>
  </w:num>
  <w:num w:numId="5">
    <w:abstractNumId w:val="0"/>
  </w:num>
  <w:num w:numId="6">
    <w:abstractNumId w:val="1"/>
  </w:num>
  <w:num w:numId="7">
    <w:abstractNumId w:val="13"/>
  </w:num>
  <w:num w:numId="8">
    <w:abstractNumId w:val="7"/>
  </w:num>
  <w:num w:numId="9">
    <w:abstractNumId w:val="8"/>
  </w:num>
  <w:num w:numId="10">
    <w:abstractNumId w:val="12"/>
  </w:num>
  <w:num w:numId="11">
    <w:abstractNumId w:val="22"/>
  </w:num>
  <w:num w:numId="12">
    <w:abstractNumId w:val="2"/>
  </w:num>
  <w:num w:numId="13">
    <w:abstractNumId w:val="6"/>
  </w:num>
  <w:num w:numId="14">
    <w:abstractNumId w:val="3"/>
  </w:num>
  <w:num w:numId="15">
    <w:abstractNumId w:val="16"/>
  </w:num>
  <w:num w:numId="16">
    <w:abstractNumId w:val="15"/>
  </w:num>
  <w:num w:numId="17">
    <w:abstractNumId w:val="9"/>
  </w:num>
  <w:num w:numId="18">
    <w:abstractNumId w:val="17"/>
  </w:num>
  <w:num w:numId="19">
    <w:abstractNumId w:val="20"/>
  </w:num>
  <w:num w:numId="20">
    <w:abstractNumId w:val="5"/>
  </w:num>
  <w:num w:numId="21">
    <w:abstractNumId w:val="18"/>
  </w:num>
  <w:num w:numId="22">
    <w:abstractNumId w:val="23"/>
  </w:num>
  <w:num w:numId="23">
    <w:abstractNumId w:val="14"/>
  </w:num>
  <w:num w:numId="2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B52BE"/>
    <w:rsid w:val="00124FEF"/>
    <w:rsid w:val="001772CB"/>
    <w:rsid w:val="00180BE9"/>
    <w:rsid w:val="001F5A03"/>
    <w:rsid w:val="002426F7"/>
    <w:rsid w:val="00277C7B"/>
    <w:rsid w:val="002B07E6"/>
    <w:rsid w:val="002D7D9A"/>
    <w:rsid w:val="00310DB7"/>
    <w:rsid w:val="00392C16"/>
    <w:rsid w:val="003D610C"/>
    <w:rsid w:val="003E5306"/>
    <w:rsid w:val="003F14E7"/>
    <w:rsid w:val="00404071"/>
    <w:rsid w:val="00441D66"/>
    <w:rsid w:val="004C136A"/>
    <w:rsid w:val="005005D7"/>
    <w:rsid w:val="0051498A"/>
    <w:rsid w:val="00525ABA"/>
    <w:rsid w:val="00587BCD"/>
    <w:rsid w:val="005A513A"/>
    <w:rsid w:val="005B1E33"/>
    <w:rsid w:val="005E2268"/>
    <w:rsid w:val="00622EF4"/>
    <w:rsid w:val="0062333D"/>
    <w:rsid w:val="006A3F4C"/>
    <w:rsid w:val="006F710E"/>
    <w:rsid w:val="00722848"/>
    <w:rsid w:val="00727A20"/>
    <w:rsid w:val="00742FB9"/>
    <w:rsid w:val="00752FFF"/>
    <w:rsid w:val="007C217B"/>
    <w:rsid w:val="00847224"/>
    <w:rsid w:val="00867F5D"/>
    <w:rsid w:val="0087456A"/>
    <w:rsid w:val="008A6C76"/>
    <w:rsid w:val="008B42FC"/>
    <w:rsid w:val="008F54BB"/>
    <w:rsid w:val="00A15F2B"/>
    <w:rsid w:val="00A842C2"/>
    <w:rsid w:val="00A9535D"/>
    <w:rsid w:val="00AD1FA0"/>
    <w:rsid w:val="00AF2C05"/>
    <w:rsid w:val="00B415B2"/>
    <w:rsid w:val="00B70054"/>
    <w:rsid w:val="00B710FE"/>
    <w:rsid w:val="00CA0B3A"/>
    <w:rsid w:val="00CA5722"/>
    <w:rsid w:val="00CC0FA2"/>
    <w:rsid w:val="00CC16F0"/>
    <w:rsid w:val="00CC5681"/>
    <w:rsid w:val="00D35B2D"/>
    <w:rsid w:val="00DD644C"/>
    <w:rsid w:val="00DE45D3"/>
    <w:rsid w:val="00E461F4"/>
    <w:rsid w:val="00E95B63"/>
    <w:rsid w:val="00ED54F5"/>
    <w:rsid w:val="00EF6805"/>
    <w:rsid w:val="00F22D97"/>
    <w:rsid w:val="00F54EA2"/>
    <w:rsid w:val="00F879C5"/>
    <w:rsid w:val="00F87B30"/>
    <w:rsid w:val="00FA6275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5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4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link w:val="41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Гиперссылка4"/>
    <w:link w:val="a4"/>
    <w:uiPriority w:val="99"/>
    <w:rsid w:val="00A9535D"/>
    <w:pPr>
      <w:spacing w:after="0" w:line="240" w:lineRule="auto"/>
    </w:pPr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9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535D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A9535D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DD644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81560">
          <w:blockQuote w:val="1"/>
          <w:marLeft w:val="0"/>
          <w:marRight w:val="0"/>
          <w:marTop w:val="120"/>
          <w:marBottom w:val="120"/>
          <w:divBdr>
            <w:top w:val="none" w:sz="0" w:space="0" w:color="auto"/>
            <w:left w:val="single" w:sz="18" w:space="8" w:color="D1D5DB"/>
            <w:bottom w:val="none" w:sz="0" w:space="0" w:color="auto"/>
            <w:right w:val="none" w:sz="0" w:space="0" w:color="auto"/>
          </w:divBdr>
        </w:div>
      </w:divsChild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3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2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056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8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64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20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566597">
                          <w:marLeft w:val="0"/>
                          <w:marRight w:val="1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15461">
                          <w:marLeft w:val="-1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6642562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000000"/>
                <w:right w:val="none" w:sz="0" w:space="0" w:color="auto"/>
              </w:divBdr>
              <w:divsChild>
                <w:div w:id="521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628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7349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1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744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993898">
                  <w:marLeft w:val="0"/>
                  <w:marRight w:val="0"/>
                  <w:marTop w:val="0"/>
                  <w:marBottom w:val="0"/>
                  <w:divBdr>
                    <w:top w:val="single" w:sz="6" w:space="15" w:color="000000"/>
                    <w:left w:val="none" w:sz="0" w:space="0" w:color="auto"/>
                    <w:bottom w:val="single" w:sz="6" w:space="15" w:color="000000"/>
                    <w:right w:val="none" w:sz="0" w:space="0" w:color="auto"/>
                  </w:divBdr>
                  <w:divsChild>
                    <w:div w:id="189715517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5114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7125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03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9D9D9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7701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24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808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32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122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71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9604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0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52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706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49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0453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749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804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2135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5193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417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186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51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73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0982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511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37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000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1768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3653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7572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29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3371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5965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3840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162160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678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8956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666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9875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3045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5</cp:revision>
  <dcterms:created xsi:type="dcterms:W3CDTF">2026-08-18T06:15:00Z</dcterms:created>
  <dcterms:modified xsi:type="dcterms:W3CDTF">2026-08-18T07:08:00Z</dcterms:modified>
</cp:coreProperties>
</file>