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716" w:rsidRPr="009A6716" w:rsidRDefault="009A6716" w:rsidP="009A6716">
      <w:pPr>
        <w:pStyle w:val="a3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ПРАВИТЕЛЬСТВО РОССИЙСКОЙ ФЕДЕРАЦИИ</w:t>
      </w:r>
    </w:p>
    <w:p w:rsidR="009A6716" w:rsidRPr="009A6716" w:rsidRDefault="009A6716" w:rsidP="009A6716">
      <w:pPr>
        <w:pStyle w:val="a3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r w:rsidRPr="009A6716">
        <w:rPr>
          <w:rFonts w:asciiTheme="minorHAnsi" w:hAnsiTheme="minorHAnsi" w:cstheme="minorHAnsi"/>
          <w:b/>
          <w:sz w:val="22"/>
          <w:szCs w:val="22"/>
        </w:rPr>
        <w:t>Распоряжение Правительства РФ от 24.09.2026 N 2631-р</w:t>
      </w:r>
    </w:p>
    <w:bookmarkEnd w:id="0"/>
    <w:p w:rsidR="009A6716" w:rsidRDefault="009A6716" w:rsidP="009A671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6716" w:rsidRPr="009A6716" w:rsidRDefault="009A6716" w:rsidP="009A6716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концепции развития математических наук в Российской Федерации на период до 2030 года и на перспективу до 2036 года</w:t>
      </w:r>
    </w:p>
    <w:p w:rsidR="009A6716" w:rsidRPr="009A6716" w:rsidRDefault="009A6716" w:rsidP="009A6716">
      <w:pPr>
        <w:pStyle w:val="a3"/>
        <w:spacing w:before="0" w:beforeAutospacing="0" w:after="0" w:afterAutospacing="0" w:line="31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1. Утвердить прилагаемую </w:t>
      </w:r>
      <w:r w:rsidRPr="009A6716">
        <w:rPr>
          <w:rFonts w:asciiTheme="minorHAnsi" w:hAnsiTheme="minorHAnsi" w:cstheme="minorHAnsi"/>
          <w:sz w:val="22"/>
          <w:szCs w:val="22"/>
        </w:rPr>
        <w:t>Концепцию</w:t>
      </w:r>
      <w:r w:rsidRPr="009A6716">
        <w:rPr>
          <w:rFonts w:asciiTheme="minorHAnsi" w:hAnsiTheme="minorHAnsi" w:cstheme="minorHAnsi"/>
          <w:sz w:val="22"/>
          <w:szCs w:val="22"/>
        </w:rPr>
        <w:t xml:space="preserve"> развития математических наук в Российской Федерации на период до 2030 года и на перспективу до 2036 года.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2. Рекомендовать органам государственной власти субъектов Российской Федерации и органам местного самоуправления учитывать в своей деятельности положения </w:t>
      </w:r>
      <w:r w:rsidRPr="009A6716">
        <w:rPr>
          <w:rFonts w:asciiTheme="minorHAnsi" w:hAnsiTheme="minorHAnsi" w:cstheme="minorHAnsi"/>
          <w:sz w:val="22"/>
          <w:szCs w:val="22"/>
        </w:rPr>
        <w:t>Концепции</w:t>
      </w:r>
      <w:r w:rsidRPr="009A6716">
        <w:rPr>
          <w:rFonts w:asciiTheme="minorHAnsi" w:hAnsiTheme="minorHAnsi" w:cstheme="minorHAnsi"/>
          <w:sz w:val="22"/>
          <w:szCs w:val="22"/>
        </w:rPr>
        <w:t xml:space="preserve">, утвержденной настоящим распоряжением.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9A6716">
        <w:rPr>
          <w:rFonts w:asciiTheme="minorHAnsi" w:hAnsiTheme="minorHAnsi" w:cstheme="minorHAnsi"/>
          <w:b/>
          <w:sz w:val="22"/>
          <w:szCs w:val="22"/>
        </w:rPr>
        <w:t xml:space="preserve">Председатель Правительства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9A6716">
        <w:rPr>
          <w:rFonts w:asciiTheme="minorHAnsi" w:hAnsiTheme="minorHAnsi" w:cstheme="minorHAnsi"/>
          <w:b/>
          <w:sz w:val="22"/>
          <w:szCs w:val="22"/>
        </w:rPr>
        <w:t xml:space="preserve">Российской Федерации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9A6716">
        <w:rPr>
          <w:rFonts w:asciiTheme="minorHAnsi" w:hAnsiTheme="minorHAnsi" w:cstheme="minorHAnsi"/>
          <w:b/>
          <w:sz w:val="22"/>
          <w:szCs w:val="22"/>
        </w:rPr>
        <w:t xml:space="preserve">М.МИШУСТИН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Утверждена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распоряжением Правительства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Российской Федерации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от 24 сентября 2026 г. N 2631-р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1" w:name="p22"/>
      <w:bookmarkEnd w:id="1"/>
      <w:r w:rsidRPr="009A6716">
        <w:rPr>
          <w:rFonts w:asciiTheme="minorHAnsi" w:hAnsiTheme="minorHAnsi" w:cstheme="minorHAnsi"/>
          <w:b/>
          <w:bCs/>
          <w:sz w:val="22"/>
          <w:szCs w:val="22"/>
        </w:rPr>
        <w:t xml:space="preserve">Концепция </w:t>
      </w:r>
    </w:p>
    <w:p w:rsidR="009A6716" w:rsidRPr="009A6716" w:rsidRDefault="009A6716" w:rsidP="009A6716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 xml:space="preserve">развития математических наук в Российской Федерации </w:t>
      </w:r>
    </w:p>
    <w:p w:rsidR="009A6716" w:rsidRPr="009A6716" w:rsidRDefault="009A6716" w:rsidP="009A6716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 xml:space="preserve">на период до 2030 года и на перспективу до 2036 года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I. Общие положения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Концепция развития математических наук в Российской Федерации на период до 2030 года и на перспективу до 2036 года (далее - Концепция) представляет собой систему взглядов на роль математики в современном мире и отражает основные принципы, цели, задачи и инструменты развития математических наук в Российской Федерации.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Современное развитие науки характеризуется все более интенсивным использованием математических методов и инструментов для получения принципиально новых знаний. В связи с этим опережающее развитие математических наук является необходимым условием для прогресса во всех областях научных знаний, создания и развития важнейших наукоемких технологий.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Развитие математических наук также является частью социокультурного обогащения и экономического развития нации и основывается на следующих основных принципах: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неразрывность и преемственность накопления теоретических знаний фундаментальной математики и их практического применения, в том числе для развития технологий искусственного интеллекта и увеличения вычислительных возможностей программно-аппаратных комплексов, </w:t>
      </w: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что обеспечивает условия, способствующие научно-технологическому развитию Российской Федерации; </w:t>
      </w:r>
      <w:proofErr w:type="gramEnd"/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обеспечение государственной и общественной поддержки фундаментальных и поисковых научных исследований как инструмента долгосрочного развития страны;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интенсификация методов обработки больших данных для получения новых знаний.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Математические науки играют ключевую роль в создании и развитии важнейших наукоемких технологий, внедрение которых обеспечивает социально-экономическое развитие современного общества, затрагивая все сферы человеческой деятельности.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Государства, занимающие лидирующие позиции в сфере научно-технологического развития, рассматривают математику как приоритетную отрасль и вкладывают существенные ресурсы в проведение научных исследований в области математических наук, математическое образование и подготовку специалистов в области математических и смежных наук. Недооценка значимости фундаментальной и прикладной математики приведет к отставанию Российской Федерации в создании и развитии важнейших наукоемких технологий, в том числе применяемых для обеспечения обороны страны и безопасности государства.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Правовую основу Концепции составляют: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Конституция</w:t>
      </w:r>
      <w:r w:rsidRPr="009A6716">
        <w:rPr>
          <w:rFonts w:asciiTheme="minorHAnsi" w:hAnsiTheme="minorHAnsi" w:cstheme="minorHAnsi"/>
          <w:sz w:val="22"/>
          <w:szCs w:val="22"/>
        </w:rPr>
        <w:t xml:space="preserve"> Российской Федерации;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Федеральный </w:t>
      </w:r>
      <w:r w:rsidRPr="009A6716">
        <w:rPr>
          <w:rFonts w:asciiTheme="minorHAnsi" w:hAnsiTheme="minorHAnsi" w:cstheme="minorHAnsi"/>
          <w:sz w:val="22"/>
          <w:szCs w:val="22"/>
        </w:rPr>
        <w:t>закон</w:t>
      </w:r>
      <w:r w:rsidRPr="009A6716">
        <w:rPr>
          <w:rFonts w:asciiTheme="minorHAnsi" w:hAnsiTheme="minorHAnsi" w:cstheme="minorHAnsi"/>
          <w:sz w:val="22"/>
          <w:szCs w:val="22"/>
        </w:rPr>
        <w:t xml:space="preserve"> "О науке и государственной научно-технической политике";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Федеральный </w:t>
      </w:r>
      <w:r w:rsidRPr="009A6716">
        <w:rPr>
          <w:rFonts w:asciiTheme="minorHAnsi" w:hAnsiTheme="minorHAnsi" w:cstheme="minorHAnsi"/>
          <w:sz w:val="22"/>
          <w:szCs w:val="22"/>
        </w:rPr>
        <w:t>закон</w:t>
      </w:r>
      <w:r w:rsidRPr="009A6716">
        <w:rPr>
          <w:rFonts w:asciiTheme="minorHAnsi" w:hAnsiTheme="minorHAnsi" w:cstheme="minorHAnsi"/>
          <w:sz w:val="22"/>
          <w:szCs w:val="22"/>
        </w:rPr>
        <w:t xml:space="preserve"> "Об образовании в Российской Федерации";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Федеральный </w:t>
      </w:r>
      <w:r w:rsidRPr="009A6716">
        <w:rPr>
          <w:rFonts w:asciiTheme="minorHAnsi" w:hAnsiTheme="minorHAnsi" w:cstheme="minorHAnsi"/>
          <w:sz w:val="22"/>
          <w:szCs w:val="22"/>
        </w:rPr>
        <w:t>закон</w:t>
      </w:r>
      <w:r w:rsidRPr="009A6716">
        <w:rPr>
          <w:rFonts w:asciiTheme="minorHAnsi" w:hAnsiTheme="minorHAnsi" w:cstheme="minorHAnsi"/>
          <w:sz w:val="22"/>
          <w:szCs w:val="22"/>
        </w:rPr>
        <w:t xml:space="preserve"> "О стратегическом планировании в Российской Федерации";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Федеральный </w:t>
      </w:r>
      <w:r w:rsidRPr="009A6716">
        <w:rPr>
          <w:rFonts w:asciiTheme="minorHAnsi" w:hAnsiTheme="minorHAnsi" w:cstheme="minorHAnsi"/>
          <w:sz w:val="22"/>
          <w:szCs w:val="22"/>
        </w:rPr>
        <w:t>закон</w:t>
      </w:r>
      <w:r w:rsidRPr="009A6716">
        <w:rPr>
          <w:rFonts w:asciiTheme="minorHAnsi" w:hAnsiTheme="minorHAnsi" w:cstheme="minorHAnsi"/>
          <w:sz w:val="22"/>
          <w:szCs w:val="22"/>
        </w:rPr>
        <w:t xml:space="preserve"> "О технологической политике в Российской Федерации и о внесении изменений в отдельные законодательные акты Российской Федерации".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При разработке Концепции учтены положения документов стратегического планирования, в том числе следующих документов: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Указ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Президента Российской Федерации от 10 октября 2019 г. N 490 "О развитии искусственного интеллекта в Российской Федерации";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Указ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Президента Российской Федерации от 2 июля 2021 г. N 400 "О Стратегии национальной безопасности Российской Федерации";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Указ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Указ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Президента Российской Федерации от 28 февраля 2024 г. N 145 "О Стратегии научно-технологического развития Российской Федерации";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Указ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Указ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Президента Российской Федерации от 18 июня 2024 г. N 529 "Об утверждении приоритетных направлений научно-технологического развития и перечня важнейших наукоемких технологий";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Концепция</w:t>
      </w:r>
      <w:r w:rsidRPr="009A6716">
        <w:rPr>
          <w:rFonts w:asciiTheme="minorHAnsi" w:hAnsiTheme="minorHAnsi" w:cstheme="minorHAnsi"/>
          <w:sz w:val="22"/>
          <w:szCs w:val="22"/>
        </w:rPr>
        <w:t xml:space="preserve"> развития математического образования в Российской Федерации, утвержденная распоряжением Правительства Российской Федерации от 24 декабря 2013 г. N 2506-р;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комплексный </w:t>
      </w:r>
      <w:r w:rsidRPr="009A6716">
        <w:rPr>
          <w:rFonts w:asciiTheme="minorHAnsi" w:hAnsiTheme="minorHAnsi" w:cstheme="minorHAnsi"/>
          <w:sz w:val="22"/>
          <w:szCs w:val="22"/>
        </w:rPr>
        <w:t>план</w:t>
      </w:r>
      <w:r w:rsidRPr="009A6716">
        <w:rPr>
          <w:rFonts w:asciiTheme="minorHAnsi" w:hAnsiTheme="minorHAnsi" w:cstheme="minorHAnsi"/>
          <w:sz w:val="22"/>
          <w:szCs w:val="22"/>
        </w:rPr>
        <w:t xml:space="preserve"> мероприятий по повышению качества математического и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естественно-научного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образования на период до 2030 года, утвержденный распоряжением Правительства Российской Федерации от 19 ноября 2024 г. N 3333-р;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Концепция</w:t>
      </w:r>
      <w:r w:rsidRPr="009A6716">
        <w:rPr>
          <w:rFonts w:asciiTheme="minorHAnsi" w:hAnsiTheme="minorHAnsi" w:cstheme="minorHAnsi"/>
          <w:sz w:val="22"/>
          <w:szCs w:val="22"/>
        </w:rPr>
        <w:t xml:space="preserve"> международного научно-технического сотрудничества Российской Федерации, утвержденная распоряжением Правительства Российской Федерации от 16 мая 2025 г. N 1218-р.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Понятия, используемые в Концепции, употребляются в значениях, определенных нормативными правовыми актами Российской Федерации.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Механизмом реализации Концепции является план мероприятий по реализации Концепции.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II. Цель и задачи Концепции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Целью Концепции является достижение и укрепление Российской Федерацией лидирующих позиций в области математических наук - это будет способствовать обеспечению технологического лидерства Российской Федерации, конкурентоспособности, независимости и безопасности государства.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Основными задачами Концепции являются: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выработка единых механизмов определения приоритетных направлений фундаментальных и прикладных научных исследований в области математики;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масштабирование системы научного и научно-методического руководства научной и научно-технической деятельностью в области математических и смежных наук образовательных организаций высшего образования и научных организаций;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создание условий, в том числе кадрового и ресурсного обеспечения, для проведения фундаментальных научных исследований в области математических наук в рамках направлений </w:t>
      </w:r>
      <w:r w:rsidRPr="009A6716">
        <w:rPr>
          <w:rFonts w:asciiTheme="minorHAnsi" w:hAnsiTheme="minorHAnsi" w:cstheme="minorHAnsi"/>
          <w:sz w:val="22"/>
          <w:szCs w:val="22"/>
        </w:rPr>
        <w:t>Программы</w:t>
      </w:r>
      <w:r w:rsidRPr="009A6716">
        <w:rPr>
          <w:rFonts w:asciiTheme="minorHAnsi" w:hAnsiTheme="minorHAnsi" w:cstheme="minorHAnsi"/>
          <w:sz w:val="22"/>
          <w:szCs w:val="22"/>
        </w:rPr>
        <w:t xml:space="preserve"> фундаментальных научных исследований в Российской Федерации на долгосрочный период (2021 - 2030 годы), утвержденной распоряжением Правительства Российской Федерации от 31 декабря 2020 г. N 3684-р (далее - Программа фундаментальных научных исследований); </w:t>
      </w:r>
      <w:proofErr w:type="gramEnd"/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развитие сети математических центров России,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включающей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в том числе международные математические центры мирового уровня, региональные научно-образовательные математические центры и др.;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обеспечение ускоренного внедрения новых математических методов и инструментов в высокотехнологичные секторы экономики;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подготовка кадров высшей квалификации (кандидатов наук, докторов наук) в области математических и смежных наук;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развитие инфраструктуры высокопроизводительных вычислений и преодоление отставания в вычислительных ресурсах;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обеспечение доступа российских ученых к научно-технической информации в области математических и смежных наук, содержащейся в международных информационно-аналитических системах научного цитирования, а также расширение централизованной (национальной) подписки на научные издания;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развитие международного научно-технического сотрудничества и международной интеграции в области математических и смежных наук;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развитие государственных мер поддержки талантливых студентов, аспирантов, ученых;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популяризация научных исследований в области математических и смежных наук и повышение уровня общей математической культуры населения страны;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привлечение лиц, проявляющих способности и интерес к математике, к поступлению на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обучение по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образовательным программам подготовки учителей математики;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совершенствование систем профессиональной подготовки и дополнительного профессионального образования учителей математики.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Опережающее развитие математических наук и решение поставленных в Концепции задач возможно благодаря эффективной государственной поддержке.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III. Современное состояние и перспективы развития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математических наук в Российской Федерации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Важным документом в области развития математических исследований являлось постановление Центрального Комитета КПСС и Совета Министров СССР от 13 ноября 1986 г. N 1370-377 "Об усилении научно-исследовательских работ по математике и ее приложениям и улучшении условий труда и быта ученых, работающих в этой области". Реализация основных положений этого документа способствовала устойчивому прогрессу в области теоретической и прикладной математики, позволившему Российской Федерации сохранить мировое лидерство по ряду направлений математических исследований до настоящего времени.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Реализация Концепции должна обеспечить преемственность в достижении стратегических приоритетов страны и создать условия для опережающего развития математических наук в долгосрочном планировании.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Анализ направлений развития математики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Советская и российская математическая школа в XX веке занимала лидирующие позиции практически во всех областях математики. Математика в Российской Федерации и в настоящее время сохраняет значительный потенциал, который должен быть использован для научно-технологического и культурного развития, а также ответа на большие вызовы, стоящие перед страной.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К теоретическим разделам математики, направленным на получение нового фундаментального знания, относятся математическая логика, алгебра и теория чисел, алгебраическая геометрия, геометрия и топология, математический анализ и функциональный анализ, теория вероятностей и математическая статистика, дифференциальные уравнения и математическая физика, дискретная математика и теория вычислимости.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Исследования в теоретических разделах математики следует проводить в соответствии с внутренней логикой развития этих разделов. Прогнозирование сферы и горизонтов применения результатов в теоретических разделах математики затруднительно, однако история развития науки убедительно показывает, что со временем они открывают качественно новые возможности для создания прорывных методов и алгоритмов решения практических задач. Ярким примером служит теорема А.Н. Колмогорова о представлении непрерывных функций нескольких переменных в виде суперпозиций непрерывных функций одного переменного и сложения, доказанная еще в 1957 году, которая создала теоретическую основу эффективности архитектуры нейронных сетей и оказала влияние на развитие перспективных методов и технологий искусственного интеллекта.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К разделам математики, предполагающим проведение фундаментальных и прикладных научных исследований, непосредственно направленных на создание методов и алгоритмов решения практических задач, относятся математическое моделирование и высокопроизводительные вычисления, вычислительная математика и кибернетика, искусственный интеллект, системное программирование и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кибербезопасность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, квантовая информатика. </w:t>
      </w:r>
      <w:proofErr w:type="gramEnd"/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Перед математическим моделированием стоят задачи эффективного описания сложных явлений и процессов в физике, химии, биологии (в том числе в физике элементарных частиц, физике плазмы, квантовой химии, при прямом расчете турбулентных течений, процессов горения, в молекулярной динамике).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Применение математического моделирования востребовано в медицине и сельском хозяйстве, при управлении экономическими и социальными процессами, решении задач государственного и корпоративного управления, создании и развитии важнейших наукоемких технологий, технологий, имеющих важное социально-экономическое значение или важное значение для обороны страны и безопасности государства, в аэрокосмической индустрии, энергетике (в том числе атомной), робототехнике, а также при добыче и разведке природных ресурсов. </w:t>
      </w:r>
      <w:proofErr w:type="gramEnd"/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К актуальным задачам математического моделирования относятся изучение среды обитания, включая районы Крайнего Севера и местности, приравненные к районам Крайнего Севера, моделирование атмосферы и океана, изучение климата, расчет сверхзвуковых течений газа и плазмы, изучение влияния финансовой и кредитно-денежной политики на микро- и макроэкономические показатели, инвестиции в реальный сектор экономики и социально-экономическую стабильность. </w:t>
      </w:r>
      <w:proofErr w:type="gramEnd"/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Задачей вычислительной математики является разработка и совершенствование методов и алгоритмов решения современных задач математического моделирования, математической физики и искусственного интеллекта, в том числе ориентированных на высокопроизводительные вычисления.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Применение высокопроизводительных вычислений окажет большое влияние на развитие фундаментальных наук (физики, химии, биологии, медицины и др.), аэрокосмической индустрии, энергетики, промышленности и многих других сфер деятельности. Создание вычислительных алгоритмов и прикладного программного обеспечения, позволяющего эффективно использовать вычислительную технику с мощностью выше 10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эксафлопсов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, - основная задача этого направления. Вычислительные системы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эксафлопсной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 производительности также найдут применение в области предсказательного моделирования во всех сферах хозяйственной деятельности. Такие системы критически важны для развития искусственного интеллекта.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Наблюдающееся стремительное развитие искусственного интеллекта стало возможным благодаря применению математических методов и задействованию современных вычислительных ресурсов.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К фундаментальным математическим основам искусственного интеллекта относится математическая статистика, включая статистическую теорию обучения, теорию эмпирических процессов, численные методы оптимизации, вычислительную линейную алгебру. На основе этих математических дисциплин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осуществляется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в том числе разработка алгоритмов обучения и контроля качества нейронных сетей, а также методов обучения больших моделей. Стремительный рост возможностей вычислительных ресурсов обеспечивается развитием графических ускорителей и внедрением результатов дискретной математики, математической логики, а также относящихся к системному программированию методов организации параллельных и распределенных вычислений и методов оптимизации программ.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Дальнейшее развитие технологий искусственного интеллекта возможно благодаря развитию и совершенствованию фундаментальных методов обучения моделей, в том числе больших, которые позволят сократить требуемые вычислительные ресурсы. Необходимо развитие российских вычислительных ресурсов на основе открытых аппаратных архитектур.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Критически важной задачей является построение доверенного искусственного интеллекта, использование которого безопасно как с технической, так и с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социогуманитарной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 точек зрения.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Для ответа на новые типы угроз, связанных с обучающими наборами данных, требуется развивать новые математические методы, обеспечивающие устойчивость функционирования алгоритмов искусственного интеллекта и объяснимость его решений.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Задачами мирового уровня в области системного программирования являются создание и развитие методов и соответствующих технологий для разработки, сопровождения и анализа программ и информационно-коммуникационных систем, а также совершенствование существующих и создание новых видов системного и инфраструктурного программного обеспечения. Возникающие новые виды приложений (облачные среды, искусственный интеллект, интернет вещей и др.), существенное усложнение программно-аппаратных комплексов предъявляют возрастающие требования к системному программному обеспечению. Развитие теории и технологий системного программирования особенно важно для решения задачи перехода Российской Федерации на отечественные программно-аппаратные комплексы.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 рамках системного программирования направление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кибербезопасности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 способствует развитию методов и технологий обеспечения безопасности программно-аппаратных комплексов при их разработке и сопровождении, методов статического и динамического анализа для выявления дефектов и уязвимостей программ, методов обеспечения безопасности эксплуатируемых программ, методов обратной инженерии бинарного кода, методов спецификации и верификации программ. В основу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кибербезопасности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 положены научные и (или) научно-технические результаты фундаментальных научных исследований в области математики из теории графов, теории множеств, математической логики, теории автоматов, теории вероятностей и математической статистики. В Российской Федерации направление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кибербезопасности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 развито на мировом уровне,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что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прежде всего обеспечивается передовой математической школой, закладывающей для указанного направления фундаментальную основу, и школой системного программирования с более чем семидесятилетней историей. Именно поэтому соответствующие методы реализованы в виде передовых технологий разработки безопасных программ, полный набор которых имеется только у Российской Федерации и Соединенных Штатов Америки.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 течение наступающих десятилетий существенное развитие должны получить методы квантовой информатики, основанной на принципах квантовой теории, которая может обеспечить новые возможности передачи, хранения, переработки и защиты информации. Многие идеи в области квантовой информатики и квантовых вычислений наряду со специалистами по компьютерным наукам были выдвинуты математиками и физиками-теоретиками. Математическое направление в квантовой информатике значительно опережает физико-технологическое. Достижения современной математики активно используются в научных исследованиях по данной тематике.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Анализ развития кадрового потенциала в области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математических и смежных наук, а также уровня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математического образования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 Российской Федерации наблюдается существенная потребность в увеличении числа кадров высшей квалификации (кандидатов наук, докторов наук) в области математических наук, преподавателей математики в образовательных организациях высшего образования, </w:t>
      </w: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профессиональных образовательных организациях, а также учителей математики в общеобразовательных организациях.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Подготовка исследователей-математиков требует длительного времени, не менее 10 лет, и, как правило, начинается с выявления талантливых детей в общеобразовательных организациях, обучение которых продолжается в образовательных организациях высшего образования. Наиболее эффективные механизмы раннего выявления и развития талантливых детей предусмотрены комплексным </w:t>
      </w:r>
      <w:r w:rsidRPr="009A6716">
        <w:rPr>
          <w:rFonts w:asciiTheme="minorHAnsi" w:hAnsiTheme="minorHAnsi" w:cstheme="minorHAnsi"/>
          <w:sz w:val="22"/>
          <w:szCs w:val="22"/>
        </w:rPr>
        <w:t>планом</w:t>
      </w:r>
      <w:r w:rsidRPr="009A6716">
        <w:rPr>
          <w:rFonts w:asciiTheme="minorHAnsi" w:hAnsiTheme="minorHAnsi" w:cstheme="minorHAnsi"/>
          <w:sz w:val="22"/>
          <w:szCs w:val="22"/>
        </w:rPr>
        <w:t xml:space="preserve"> мероприятий по повышению качества математического и естественно-научного образования на период до 2030 года, утвержденным распоряжением Правительства Российской Федерации от 19 ноября 2024 г. N 3333-р,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включающим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в том числе мероприятия по расширению сети профильных классов с углубленным изучением математики, проведению олимпиад для учащихся и студентов, организации математических кружков и специализированных профильных смен научной направленности. Тем не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менее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лишь небольшая доля обучающихся выбирает карьеру исследователя, преподавателя или учителя математики. В связи с этим сохранение кадрового потенциала в области математических наук является важнейшей задачей. На решение этой задачи направлено развитие сети математических центров России, обеспечивающей получение новых знаний и воспитание нового поколения ученых.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Советская математическая школа занимала ведущие позиции по основным направлениям математических наук. Социально-экономические и политические потрясения конца 80 - 90-х годов XX века привели к оттоку научных кадров за рубеж и в другие секторы экономики.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Тем не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менее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Российской Федерации удалось сохранить высокий потенциал и глобальную конкурентоспособность в области математических и смежных наук.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A6716">
        <w:rPr>
          <w:rFonts w:asciiTheme="minorHAnsi" w:hAnsiTheme="minorHAnsi" w:cstheme="minorHAnsi"/>
          <w:sz w:val="22"/>
          <w:szCs w:val="22"/>
        </w:rPr>
        <w:t>Вместе с тем конкуренция за высококвалифицированных математиков обостряется, причем не только между странами (Соединенные Штаты Америки, Китайская Народная Республика и ряд других стран уделяют этой задаче приоритетное внимание), но и между секторами российской экономики (например, в финансовом секторе и высокотехнологичных компаниях, где наличие достаточной квалификации предполагает высокий уровень материального обеспечения и социальных гарантий), а также в научных сферах, в особенности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в компьютерных и информационных технологиях. В ближайшем будущем это создаст угрозы утраты критически значимых для страны компетенций.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Осуществляемые в последние годы меры поддержки, в первую очередь организация сети математических центров России, оказали положительное влияние на развитие математических и смежных наук. Так, за 2020 - 2024 годы на 12,3 процента выросла численность аспирантов по группе направлений подготовки 01.00.00 "Математика и механика". Удалось сохранить высокий уровень квалификации исследователей в этой сфере - доля кандидатов и докторов наук в указанной группе в 2024 году составила 40,9 процента против 26 процентов в остальных группах.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Вместе с тем сохранились неблагоприятные тренды.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Так, по данным форм федерального статистического наблюдения </w:t>
      </w:r>
      <w:r w:rsidRPr="009A6716">
        <w:rPr>
          <w:rFonts w:asciiTheme="minorHAnsi" w:hAnsiTheme="minorHAnsi" w:cstheme="minorHAnsi"/>
          <w:sz w:val="22"/>
          <w:szCs w:val="22"/>
        </w:rPr>
        <w:t>N 1-НК</w:t>
      </w:r>
      <w:r w:rsidRPr="009A6716">
        <w:rPr>
          <w:rFonts w:asciiTheme="minorHAnsi" w:hAnsiTheme="minorHAnsi" w:cstheme="minorHAnsi"/>
          <w:sz w:val="22"/>
          <w:szCs w:val="22"/>
        </w:rPr>
        <w:t xml:space="preserve"> "Сведения об организации, осуществляющей образовательную деятельность по программам подготовки научных и научно-педагогических кадров в аспирантуре, программам ординатуры, программам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ассистентуры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-стажировки, а также осуществляющей подготовку научных кадров в докторантуре" и </w:t>
      </w:r>
      <w:r w:rsidRPr="009A6716">
        <w:rPr>
          <w:rFonts w:asciiTheme="minorHAnsi" w:hAnsiTheme="minorHAnsi" w:cstheme="minorHAnsi"/>
          <w:sz w:val="22"/>
          <w:szCs w:val="22"/>
        </w:rPr>
        <w:t>N 2-наука</w:t>
      </w:r>
      <w:r w:rsidRPr="009A6716">
        <w:rPr>
          <w:rFonts w:asciiTheme="minorHAnsi" w:hAnsiTheme="minorHAnsi" w:cstheme="minorHAnsi"/>
          <w:sz w:val="22"/>
          <w:szCs w:val="22"/>
        </w:rPr>
        <w:t xml:space="preserve"> "Сведения о выполнении научных исследований и разработок", в 2020 - 2024 годах численность исследователей по группе научных специальностей 1.1.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"Математика и механика" снизилась на 24,3 процента, в том числе обладателей ученых степеней - на 20,3 процента. В области подготовки научных кадров наблюдавшийся в 2020 - 2022 годах рост доли выпускников, защитивших диссертации, в общем количестве выпускников аспирантуры по группе направлений подготовки 01.00.00 "Математика и механика" (с 10,6 до 17,9 процента) сменился снижением в 2023 - 2024 годах (до 11,2 процента).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Описанные тенденции вызваны комплексом факторов, в числе которых низкий уровень материальной обеспеченности и социальных гарантий аспирантов, ученых и профессорско-преподавательского состава, не соответствующий их фактической нагрузке, что негативно влияет и на качество преподавания, и на научную деятельность. Кроме того, ограничен доступ к научно-технической информации в области математических и смежных наук, содержащейся в международных информационно-аналитических системах научного цитирования, в том числе к научным монографиям, аналитическим обзорам и другим источникам информации.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Таким образом, для решения задач, определенных </w:t>
      </w:r>
      <w:r w:rsidRPr="009A6716">
        <w:rPr>
          <w:rFonts w:asciiTheme="minorHAnsi" w:hAnsiTheme="minorHAnsi" w:cstheme="minorHAnsi"/>
          <w:sz w:val="22"/>
          <w:szCs w:val="22"/>
        </w:rPr>
        <w:t>Стратегией</w:t>
      </w:r>
      <w:r w:rsidRPr="009A6716">
        <w:rPr>
          <w:rFonts w:asciiTheme="minorHAnsi" w:hAnsiTheme="minorHAnsi" w:cstheme="minorHAnsi"/>
          <w:sz w:val="22"/>
          <w:szCs w:val="22"/>
        </w:rPr>
        <w:t xml:space="preserve"> научно-технологического развития Российской Федерации, утвержденной Указом Президента Российской Федерации от 28 февраля 2024 г. N 145 "О Стратегии научно-технологического развития Российской Федерации", требуются дополнительные меры по укреплению кадрового состава российской математической школы.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Сегодня актуальной задачей является повышение уровня подготовки и устранение дефицита учителей математики. При реализации образовательных программ начального общего, основного общего и среднего общего образования в области математических и смежных наук следует ориентироваться на воспитание нового поколения творческих личностей, нацеленных на созидательную интеллектуальную работу, научные исследования и самореализацию в Российской Федерации.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Для достижения стоящих перед страной национальных целей требуются подготовка исследователей и разработчиков, владеющих математическими методами, а кроме того, воспитание уникальных ученых, способных получать научные и (или) научно-технические результаты. В Российской Федерации имеется существенный потенциал для подготовки таких ученых в образовательных организациях высшего образования и научных организациях, в том числе в тех, на базе которых созданы региональные научно-образовательные математические центры.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 случае если накапливающиеся негативные факторы не будут устранены, в течение ближайших 10 лет Российская Федерация утратит конкурентное преимущество в подготовке научных и педагогических работников в области математики и смежных наук.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Основными способами повышения уровня обеспечения кадрами высшей квалификации (кандидатами наук, докторами наук) в области математических и смежных наук являются: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обеспечение достойной заработной платы, социальных гарантий и условий для самореализации специалистов в области математических наук на всей территории Российской Федерации;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обеспечение достойной заработной платы и социальных гарантий для учителей математики в общеобразовательных организациях, преподавателей математики в образовательных организациях высшего образования, профессиональных образовательных организациях, а также в научных организациях на всей территории Российской Федерации;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повышение уровня преподавания математики и смежных дисциплин в образовательных организациях высшего образования, разработка образовательными организациями высшего образования образовательных программ, отвечающих цели достижения технологического лидерства;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обеспечение библиотек образовательных организаций высшего образования и научных организаций отечественной и зарубежной монографической литературой и периодическими научными изданиями в области математических и смежных наук, обеспечение доступа к другой </w:t>
      </w: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научной и научно-технической информации, в том числе сгенерированной с помощью искусственного интеллекта;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доведение размера стипендий для аспирантов и студентов в области математических и смежных наук до уровня, позволяющего получать образование и проводить научные исследования без устройства на работу не по профильным специальностям или направлениям подготовки на всей территории Российской Федерации;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повышение уровня преподавания математики, физики, астрономии и информатики в общеобразовательных организациях;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разработка современных учебников по математике, физике, астрономии и информатике для общеобразовательных организаций;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популяризация математики.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Анализ обеспеченности высокопроизводительной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вычислительной техникой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Для развития математических наук критически важными являются современные технологии суперкомпьютерных вычислений и оснащение образовательных организаций высшего образования, профессиональных образовательных организаций, научных организаций, а также организаций реального сектора экономики высокопроизводительной вычислительной техникой.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Развитие суперкомпьютерных технологий (включая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грид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-технологии) за последние годы стремительно набирает обороты. Суперкомпьютер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Frontier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, установленный в национальной лаборатории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Oak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Ridge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 (Соединенные Штаты Америки), достиг производительности 1,194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эксафлопса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. Следует отметить, что за последние годы утрачено лидерство Соединенных Штатов Америки в компьютерной гонке.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Так, в июне 2023 г. в список 10 самых быстродействующих суперкомпьютеров помимо компьютеров Соединенных Штатов Америки вошли компьютеры Китайской Народной Республики и Японии. В значительной мере эти вычислительные мощности используются для развития технологий искусственного интеллекта.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 настоящее время Российская Федерация существенно отстает в обеспеченности высокопроизводительной вычислительной техникой.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Самый мощный отечественный суперкомпьютер "Ломоносов-2", ориентированный на выполнение научных исследований и образование, а также обладающий быстродействием около 5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петафлопсов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, который установлен в федеральном государственном бюджетном образовательном учреждении высшего образования "Московский государственный университет имени М.В. Ломоносова", по состоянию на первое полугодие 2025 г. опустился в рейтинге "Топ500" с 370-го места на 451-е. </w:t>
      </w:r>
      <w:proofErr w:type="gramEnd"/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A6716">
        <w:rPr>
          <w:rFonts w:asciiTheme="minorHAnsi" w:hAnsiTheme="minorHAnsi" w:cstheme="minorHAnsi"/>
          <w:sz w:val="22"/>
          <w:szCs w:val="22"/>
        </w:rPr>
        <w:t>Высокопроизводительную вычислительную технику, представляющую коммерческий сектор и направленную на решение задач искусственного интеллекта, представляют суперкомпьютеры международной компании публичного акционерного общества "ЯНДЕКС" ("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Червоненкис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", пиковая производительность 29,4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петафлопса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; "Галушкин", пиковая производительность 20,6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петафлопса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; "Ляпунов", пиковая производительность 20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петафлопсов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>) и публичного акционерного общества "Сбербанк России" ("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Christofari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Neo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", пиковая производительность 14,9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петафлопса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>, и "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Christofari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", пиковая производительность 8,7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петафлопса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>).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Представленные данные подтверждают востребованность суперкомпьютерных ресурсов в коммерческом секторе и недостаточную оснащенность сектора фундаментальной науки.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Таким образом, по состоянию на июнь 2025 г. Российская Федерация представлена в рейтинге суперкомпьютеров "Топ500" 6 системами и занимает 16-е место с показателем 1,2 процента суммарной пиковой производительности списка (в 2023 году - 13-е место при показателе 0,96 процента). К опережающим Российскую Федерацию Соединенным Штатам Америки, Японии, Китайской Народной Республике, Федеративной Республике Германия, Французской Республике, Финляндской Республике, Республике Корея, Итальянской Республике, Соединенному Королевству Великобритании и Северной Ирландии, Королевству Нидерландов и Федеративной Республике Бразилия добавились Королевство Швеция, Тайвань (Китай), Королевство Саудовская Аравия, Канада и Республика Польша.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Серьезное отставание Российской Федерации в вычислительных ресурсах до недавнего времени компенсировалось успехами российских ученых в развитии алгоритмов и математического обеспечения. Однако текущий уровень отставания ставит под угрозу позиции нашей страны в технологической гонке (самый быстродействующий суперкомпьютер в Российской Федерации "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Червоненкис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", установленный в международной компании публичном акционерном обществе "ЯНДЕКС", уступает по мощности суперкомпьютерам других стран).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Ближайшей целью научного сообщества в области суперкомпьютерных технологий будет являться решение вычислительных проблем, возникающих у пользователей высокопроизводительных систем с большим количеством вычислительных ядер. Российские ученые и специалисты, в первую очередь работающие в научных организациях и образовательных организациях высшего образования, научное и научно-методическое руководство научной и научно-технической деятельностью которых осуществляет федеральное государственное бюджетное учреждение "Российская академия наук" (далее - Российская академия наук), занимают ведущие позиции в этом направлении. Это конкурентное преимущество Российской Федерации, которое необходимо использовать.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Роль Российской академии наук в развитии математических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и смежных наук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Успехи советской и российской математики в значительной степени связаны с самостоятельным выбором учеными основных направлений научных исследований. В настоящее время этот независимый выбор является одним из ключевых факторов обеспечения суверенитета Российской Федерации в научно-технологической сфере.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Российская академия наук разрабатывает предложения о приоритетных направлениях развития фундаментальных наук, а также о направлениях поисковых научных исследований, в том числе в области математических наук. В основе определения приоритетных направлений научных исследований в области математических наук лежит глубокое изучение и анализ достижений мировой и российской науки. При этом Российская академия наук учитывает мнение научного сообщества, в том числе решения крупных научных конференций, а также научные результаты, представленные в монографиях и статьях в научных журналах.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Для определения приоритетных направлений научных исследований в области математических наук, соответствующих мировому уровню математических наук и математического образования, необходимо обеспечить: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повышение качества издания российских научных монографий, а также научных журналов, в которых публикуются результаты научных исследований, проводимых российскими учеными в области математики, учредителем которых является Российская академия наук;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доступ российских ученых к научно-технической информации в области математических и смежных наук, содержащейся в международных информационно-аналитических системах </w:t>
      </w: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научного цитирования, в том числе к научным монографиям, аналитическим обзорам и другим источникам информации.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Кроме того, Российская академия наук учитывает необходимость применения результатов математических исследований для социально-экономического развития Российской Федерации, разработки технологий, в том числе оборонных, а также их востребованность в других направлениях науки. Российская академия наук участвует в разработке предложений по формированию и реализации государственной научно-технической политики, выявлении актуальных научных и технологических вызовов в области математических и смежных наук и определении научных направлений для ответа на эти вызовы.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Российская академия наук осуществляет взаимодействие с международным математическим сообществом. Для этого при Отделении математических наук Российской академии наук созданы: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Национальный комитет математиков Российской Федерации;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Российский национальный комитет по индустриальной и прикладной математике;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Национальный комитет по распознаванию образов и анализу изображений.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Указанные комитеты не только являются эффективной площадкой для обсуждения передовых достижений российских ученых, но и призваны осуществлять влияние и донесение до международного научного сообщества государственной позиции Российской Федерации, в том числе в области развития математических и смежных наук.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IV. Инструменты реализации Концепции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Инструментами реализации Концепции являются </w:t>
      </w:r>
      <w:r w:rsidRPr="009A6716">
        <w:rPr>
          <w:rFonts w:asciiTheme="minorHAnsi" w:hAnsiTheme="minorHAnsi" w:cstheme="minorHAnsi"/>
          <w:sz w:val="22"/>
          <w:szCs w:val="22"/>
        </w:rPr>
        <w:t>Программа</w:t>
      </w:r>
      <w:r w:rsidRPr="009A6716">
        <w:rPr>
          <w:rFonts w:asciiTheme="minorHAnsi" w:hAnsiTheme="minorHAnsi" w:cstheme="minorHAnsi"/>
          <w:sz w:val="22"/>
          <w:szCs w:val="22"/>
        </w:rPr>
        <w:t xml:space="preserve"> фундаментальных научных исследований, а также сеть математических центров России, включающая международные математические центры мирового уровня и региональные научно-образовательные математические центры, Национальный центр физики и математики и международный математический центр Образовательного Фонда "Талант и успех".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Программа фундаментальных научных исследований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Программа</w:t>
      </w:r>
      <w:r w:rsidRPr="009A6716">
        <w:rPr>
          <w:rFonts w:asciiTheme="minorHAnsi" w:hAnsiTheme="minorHAnsi" w:cstheme="minorHAnsi"/>
          <w:sz w:val="22"/>
          <w:szCs w:val="22"/>
        </w:rPr>
        <w:t xml:space="preserve"> фундаментальных научных исследований является инструментом государственной поддержки фундаментальных и поисковых научных исследований, направленных на решение значимых научных задач, в том числе по приоритетным направлениям, установленным документами стратегического планирования и определяющим социально-экономическое и научно-технологическое развитие Российской Федерации. Такие научные задачи могут быть инициированы исследователями и (или) исследовательскими коллективами, научными организациями, государственными академиями наук, фондами поддержки научной, научно-технической, инновационной деятельности.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>Программа</w:t>
      </w:r>
      <w:r w:rsidRPr="009A6716">
        <w:rPr>
          <w:rFonts w:asciiTheme="minorHAnsi" w:hAnsiTheme="minorHAnsi" w:cstheme="minorHAnsi"/>
          <w:sz w:val="22"/>
          <w:szCs w:val="22"/>
        </w:rPr>
        <w:t xml:space="preserve"> фундаментальных научных исследований закрепляет систему целевого управления фундаментальными и поисковыми научными исследованиями, основным механизмом которой является осуществление Российской академией наук научного и научно-методического руководства научной и научно-технической деятельностью научных организаций и образовательных организаций высшего образования, а также экспертизы научных и научно-технических результатов, полученных этими организациями.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Правовым основанием для этого является </w:t>
      </w:r>
      <w:r w:rsidRPr="009A6716">
        <w:rPr>
          <w:rFonts w:asciiTheme="minorHAnsi" w:hAnsiTheme="minorHAnsi" w:cstheme="minorHAnsi"/>
          <w:sz w:val="22"/>
          <w:szCs w:val="22"/>
        </w:rPr>
        <w:t>постановление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Правительства Российской Федерации от 30 декабря 2018 г. N 1781 "Об осуществлении федеральным государственным бюджетным учреждением "Российская академия </w:t>
      </w: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наук" научного и научно-методического руководства научной и научно-технической деятельностью научных организаций и образовательных организаций высшего образования, а также экспертизы научных и научно-технических результатов, полученных этими организациями, и о внесении изменений в некоторые акты Правительства Российской Федерации". </w:t>
      </w:r>
      <w:proofErr w:type="gramEnd"/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Математические науки включены в план фундаментальных и поисковых научных исследований на 2021 - 2030 годы, предусмотренный </w:t>
      </w:r>
      <w:r w:rsidRPr="009A6716">
        <w:rPr>
          <w:rFonts w:asciiTheme="minorHAnsi" w:hAnsiTheme="minorHAnsi" w:cstheme="minorHAnsi"/>
          <w:sz w:val="22"/>
          <w:szCs w:val="22"/>
        </w:rPr>
        <w:t>приложением N 1</w:t>
      </w:r>
      <w:r w:rsidRPr="009A6716">
        <w:rPr>
          <w:rFonts w:asciiTheme="minorHAnsi" w:hAnsiTheme="minorHAnsi" w:cstheme="minorHAnsi"/>
          <w:sz w:val="22"/>
          <w:szCs w:val="22"/>
        </w:rPr>
        <w:t xml:space="preserve"> к Программе фундаментальных научных исследований, и детализированный план фундаментальных и поисковых научных исследований, утвержденный координационным советом Программы фундаментальных научных исследований. Формирование и актуализацию приоритетных направлений фундаментальных и поисковых научных исследований, предусмотренных указанными планами, осуществляет Российская академия наук.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Сеть математических центров России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В 2019 - 2024 годах фактически сформировалась сеть математических центров России, включающая 4 международных математических центра мирового уровня, 12 региональных научно-образовательных математических центров, Национальный центр физики и математики и международный математический центр Образовательного Фонда "Талант и успех", объединенные целями достижения лидерства нашей страны в области физико-математических наук, консолидации исследовательских ресурсов, подготовки перспективных научных работников и педагогических кадров для обеспечения технологического лидерства. </w:t>
      </w:r>
      <w:proofErr w:type="gramEnd"/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Развитие сети математических центров России осуществляется за счет привлечения организаций, в которых создаются математические школы, признанные научным сообществом и обеспечивающие вклад в развитие математических и смежных наук и математического образования, в том числе в субъектах Российской Федерации.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Международные математические центры мирового уровня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 настоящее время действуют и активно развиваются 4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международных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математических центра мирового уровня: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математический центр мирового уровня "Математический институт им. В.А. Стеклова Российской академии наук" (МЦМУ МИАН);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Московский центр фундаментальной и прикладной математики;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Санкт-Петербургский международный математический институт имени Леонарда Эйлера;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математический центр в Академгородке.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Основная цель создания международных математических центров мирового уровня - осуществление прорывных научных исследований преимущественно фундаментального и поискового характера, направленных на решение задач, соответствующих мировому уровню актуальности и значимости в области математики и смежных наук.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Международные математические центры мирового уровня продемонстрировали свою высокую эффективность и к 2025 году подтвердили статус центров мирового уровня в области математических наук. В них сформированы научные коллективы, осуществляющие научные исследования на передовых позициях в мире, часто определяющие мировой уровень, а также осуществляется подготовка научных кадров.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Международные математические центры мирового уровня являются точками роста важнейших математических исследований в стране.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A6716">
        <w:rPr>
          <w:rFonts w:asciiTheme="minorHAnsi" w:hAnsiTheme="minorHAnsi" w:cstheme="minorHAnsi"/>
          <w:sz w:val="22"/>
          <w:szCs w:val="22"/>
        </w:rPr>
        <w:t xml:space="preserve">В 2025 году программы развития международных математических центров мирового уровня скорректированы в соответствии с приоритетными направлениями научно-технологического развития, определенными </w:t>
      </w:r>
      <w:r w:rsidRPr="009A6716">
        <w:rPr>
          <w:rFonts w:asciiTheme="minorHAnsi" w:hAnsiTheme="minorHAnsi" w:cstheme="minorHAnsi"/>
          <w:sz w:val="22"/>
          <w:szCs w:val="22"/>
        </w:rPr>
        <w:t>Указом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Президента Российской Федерации от 18 июня 2024 г. N 529 "Об утверждении приоритетных направлений научно-технологического развития и перечня важнейших наукоемких технологий". </w:t>
      </w:r>
      <w:proofErr w:type="gramEnd"/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Международные математические центры мирового уровня проводят научные исследования мирового уровня, осуществляют подготовку кадров высшей квалификации (кандидатов наук, докторов наук), разрабатывают образовательные программы, участвуют в популяризации математики, осуществляют продвижение интересов российской математической школы в мире.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Региональные научно-образовательные математические центры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 настоящее время создано 12 региональных научно-образовательных математических центров, расположенных во всех федеральных округах Российской Федерации.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Основными целями деятельности региональных научно образовательных математических центров являются: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проведение научных исследований по актуальным разделам теоретической и прикладной математики;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сохранение и развитие ведущих математических школ, формирование в субъектах Российской Федерации новых научных школ по современным направлениям математики и смежных наук;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повышение уровня математического образования;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содействие повышению качества подготовки педагогических кадров в области математического образования;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создание в Российской Федерации единой научно-образовательной математической среды, представляющей непрерывную систему "общеобразовательная организация - образовательная организация высшего образования - научная и (или) образовательная деятельность";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популяризация математики, повышение уровня общей математической культуры населения страны.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Расширение программы поддержки региональных научно-образовательных математических центров должно осуществляться с учетом потребностей промышленного, социального, экономического развития субъектов Российской Федерации, в которых они присутствуют.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Национальный центр физики и математики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Национальный центр физики и математики создан в соответствии с </w:t>
      </w:r>
      <w:r w:rsidRPr="009A6716">
        <w:rPr>
          <w:rFonts w:asciiTheme="minorHAnsi" w:hAnsiTheme="minorHAnsi" w:cstheme="minorHAnsi"/>
          <w:sz w:val="22"/>
          <w:szCs w:val="22"/>
        </w:rPr>
        <w:t>постановлением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Правительства Российской Федерации от 27 августа 2021 г. N 1416 "О Национальном центре физики и математики" в целях получения научных результатов мирового уровня, подготовки кадров высшей квалификации и укрепления кадрового потенциала ядерного оружейного комплекса страны. Национальный центр физики и математики специализируется на получении принципиально новых знаний в области новой физики, передовой математики и информационных технологий.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В рамках научной программы Национального центра физики и математики создаются научные установки мирового уровня. Эффективная реализация потенциала таких установок потребует разработки передового математического программного обеспечения, а также новых математических методов, в том числе для обработки экспериментальных данных.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Международный математический центр Образовательного Фонда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"Талант и успех"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Целью деятельности международного математического центра Образовательного Фонда "Талант и успех" является активизация в Российской Федерации научных исследований в области математических наук, расширение сети личных и профессиональных контактов между математиками, вовлечение российских студентов и аспирантов в актуальные научные исследования в области математических наук.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Для достижения этой цели международный математический центр Образовательного Фонда "Талант и успех" организует и проводит регулярные научно-образовательные мероприятия в области математических наук (научные конференции, школы для молодых исследователей по актуальным проблемам фундаментальной и прикладной математики).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V. Математическое просвещение и популяризация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математической науки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Для математического просвещения и популяризации математической науки необходимо обеспечить: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государственную поддержку доступности и вовлеченности в занятия математикой для всех возрастных групп населения, повышение уровня математических знаний граждан, их общекультурных потребностей, приобретение знаний и навыков, применяемых в повседневной жизни и профессиональной деятельности;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увеличение количества крупных научных мероприятий (форумов, конференций, выставок, семинаров и др.);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создание серии художественных и научно-популярных фильмов, теле- и радиопередач, издание книг и статей о математиках.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A6716">
        <w:rPr>
          <w:rFonts w:asciiTheme="minorHAnsi" w:hAnsiTheme="minorHAnsi" w:cstheme="minorHAnsi"/>
          <w:sz w:val="22"/>
          <w:szCs w:val="22"/>
        </w:rPr>
        <w:t>Вышеуказанные меры должны привести к общественному осознанию исключительной роли математических наук в развитии науки и технологий, важности получения качественного математического образования для каждого ребенка, роли математики для будущей карьеры в современных областях науки и отраслях экономики, для успешной жизни в цифровом мире, а также к формированию гордости за достижения российских ученых, уважению к труду преподавателей математики в образовательных организациях высшего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образования и профессиональных образовательных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организациях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, учителей математики в общеобразовательных организациях.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Система дополнительного образования, включающая математические кружки и соревнования, является важнейшей частью российской традиции математического образования и должна быть обеспечена государственной поддержкой с целью предоставления равного доступа к ней каждому учащемуся независимо от места жительства и уровня дохода семьи. Одновременно должны получать поддержку интерактивные музеи математики, фестивали науки, математические проекты на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интернет-порталах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, в печатных и электронных средствах массовой информации, в социальных сетях, профессиональные математические интернет-сообщества.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Необходима поддержка издания и широкого распространения научно-популярных математических журналов для учащихся, студентов и научных работников.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Конференция математических центров России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 целью объединения ведущих ученых и молодых исследователей в области фундаментальной и прикладной математики из Российской Федерации и иностранных государств ежегодно проводится конференция математических центров России (далее - конференция). Конференция имеет статус крупного научного международного форума.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Конференция способствует активизации математических исследований в Российской Федерации, формированию и укреплению научных связей между международными математическими центрами мирового уровня, региональными научно-образовательными математическими центрами, российскими и иностранными образовательными организациями высшего образования и научными организациями.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На конференции вручаются награды и премии российским ученым.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Награды и премии, присуждаемые в области математики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Награды и премии, присуждаемые в области математики, способствуют активизации и повышению уровня научных исследований в области математических и смежных наук, привлечению внимания общества к развитию математики и созданию, а также применению перспективных технологий, в том числе в области искусственного интеллекта, популяризации науки в обществе.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 настоящее время учреждены и вручаются следующие награды и премии: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премия Правительства Российской Федерации в области математики имени Андрея Николаевича Колмогорова, учрежденная в соответствии с </w:t>
      </w:r>
      <w:r w:rsidRPr="009A6716">
        <w:rPr>
          <w:rFonts w:asciiTheme="minorHAnsi" w:hAnsiTheme="minorHAnsi" w:cstheme="minorHAnsi"/>
          <w:sz w:val="22"/>
          <w:szCs w:val="22"/>
        </w:rPr>
        <w:t>постановлением</w:t>
      </w:r>
      <w:r w:rsidRPr="009A6716">
        <w:rPr>
          <w:rFonts w:asciiTheme="minorHAnsi" w:hAnsiTheme="minorHAnsi" w:cstheme="minorHAnsi"/>
          <w:sz w:val="22"/>
          <w:szCs w:val="22"/>
        </w:rPr>
        <w:t xml:space="preserve"> Правительства Российской Федерации от 25 ноября 2025 г. N 1874 "Об учреждении премии Правительства Российской Федерации в области математики имени Андрея Николаевича Колмогорова";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золотые медали и премии имени выдающихся ученых, присуждаемые Российской академией наук;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премия Правительства Москвы молодым ученым в номинации "Математика, механика и информатика";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научная премия </w:t>
      </w:r>
      <w:proofErr w:type="spellStart"/>
      <w:r w:rsidRPr="009A6716">
        <w:rPr>
          <w:rFonts w:asciiTheme="minorHAnsi" w:hAnsiTheme="minorHAnsi" w:cstheme="minorHAnsi"/>
          <w:sz w:val="22"/>
          <w:szCs w:val="22"/>
        </w:rPr>
        <w:t>Сбера</w:t>
      </w:r>
      <w:proofErr w:type="spellEnd"/>
      <w:r w:rsidRPr="009A6716">
        <w:rPr>
          <w:rFonts w:asciiTheme="minorHAnsi" w:hAnsiTheme="minorHAnsi" w:cstheme="minorHAnsi"/>
          <w:sz w:val="22"/>
          <w:szCs w:val="22"/>
        </w:rPr>
        <w:t xml:space="preserve"> в области науки и технологий в номинации "Цифровая вселенная", которая присуждается за выдающиеся результаты по математике, компьютерным наукам и информатике;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медаль и премия имени Н.И. Лобачевского "За выдающиеся работы в области фундаментальной и прикладной математики", присуждаемая федеральным государственным автономным образовательным учреждением высшего образования "Казанский (Приволжский) федеральный университет".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>VI. Ожидаемые результаты реализации Концепции</w:t>
      </w:r>
      <w:r w:rsidRPr="009A671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Реализация Концепции создаст условия для опережающего развития математических наук, что является необходимым для развития других направлений науки, а также создания и развития важнейших наукоемких технологий, устойчивого развития высокотехнологичных отраслей экономики.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Результатами реализации Концепции также являются сохранение наследия, созданного великими отечественными математиками, поиск, развитие талантов и культурное обогащение нации.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Решение поставленных Концепцией задач обеспечит: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определение приоритетных направлений развития математических наук с учетом необходимости сохранения отечественных научных школ, а также фокусировки на высокотехнологичные отрасли экономики, в которых наиболее востребованы математические инструменты;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выработку механизмов принятия научно обоснованных решений на основе анализа потребностей и экспертизы технологических запросов в рамках осуществляемого Российской академией наук научно-методического руководства научной и научно-технической деятельностью научных организаций и образовательных организаций высшего образования, в том числе в области математических и смежных наук, для развития высокотехнологичных отраслей экономики;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развитие сети математических центров России с учетом потребностей и экономических особенностей субъектов Российской Федерации;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создание условий, необходимых для сохранения и наращивания научных и научно-педагогических кадров в области математических и смежных наук, а также подготовки инженерных кадров и специалистов в области информационных технологий, </w:t>
      </w:r>
      <w:proofErr w:type="gramStart"/>
      <w:r w:rsidRPr="009A6716">
        <w:rPr>
          <w:rFonts w:asciiTheme="minorHAnsi" w:hAnsiTheme="minorHAnsi" w:cstheme="minorHAnsi"/>
          <w:sz w:val="22"/>
          <w:szCs w:val="22"/>
        </w:rPr>
        <w:t>предполагающих</w:t>
      </w:r>
      <w:proofErr w:type="gramEnd"/>
      <w:r w:rsidRPr="009A6716">
        <w:rPr>
          <w:rFonts w:asciiTheme="minorHAnsi" w:hAnsiTheme="minorHAnsi" w:cstheme="minorHAnsi"/>
          <w:sz w:val="22"/>
          <w:szCs w:val="22"/>
        </w:rPr>
        <w:t xml:space="preserve"> в том числе справедливую и конкурентоспособную систему оплаты труда с учетом преодоления региональных диспропорций;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преодоление отставания в вычислительных ресурсах и достижение конкурентоспособности в области развития инфраструктуры высокопроизводительных вычислений и увеличения мощности оборудования, в том числе для проведения гибридных и квантовых вычислений;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доступ российских ученых к научно-технической информации в области математических и смежных наук, содержащейся в международных информационно-аналитических системах научного цитирования, результатам научных исследований, научной инфраструктуре в области математических и смежных наук;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вовлечение талантливой молодежи и поддержку ученых на всех этапах карьеры;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увеличение финансирования в области математических наук с учетом интенсификации привлечения математических методов и инструментов для развития всех областей научных знаний, создания и развития важнейших наукоемких технологий;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реализацию мер, направленных на стимулирование и поощрение проведения научных исследований в области математических наук, включая присуждение специальных стипендий и премий;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повышение авторитета и значимости достижений математических наук, а также узнаваемости ученых, внесших весомый вклад в развитие математики;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понимание обществом роли математики в социально-экономическом развитии государства и повышении качества жизни населения. </w:t>
      </w:r>
    </w:p>
    <w:p w:rsidR="009A6716" w:rsidRPr="009A6716" w:rsidRDefault="009A6716" w:rsidP="009A6716">
      <w:pPr>
        <w:pStyle w:val="a3"/>
        <w:spacing w:before="168" w:beforeAutospacing="0" w:after="0" w:afterAutospacing="0" w:line="288" w:lineRule="atLeas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Целевые значения показателей развития математических наук в Российской Федерации на период до 2030 года и на перспективу до 2036 года приведены в </w:t>
      </w:r>
      <w:r w:rsidRPr="009A6716">
        <w:rPr>
          <w:rFonts w:asciiTheme="minorHAnsi" w:hAnsiTheme="minorHAnsi" w:cstheme="minorHAnsi"/>
          <w:sz w:val="22"/>
          <w:szCs w:val="22"/>
        </w:rPr>
        <w:t>приложении</w:t>
      </w:r>
      <w:r w:rsidRPr="009A6716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  <w:sectPr w:rsidR="009A6716" w:rsidRPr="009A67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lastRenderedPageBreak/>
        <w:t xml:space="preserve">Приложение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к Концепции развития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математических наук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в Российской Федерации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на период до 2030 года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и на перспективу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до 2036 года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2" w:name="p258"/>
      <w:bookmarkEnd w:id="2"/>
      <w:r w:rsidRPr="009A6716">
        <w:rPr>
          <w:rFonts w:asciiTheme="minorHAnsi" w:hAnsiTheme="minorHAnsi" w:cstheme="minorHAnsi"/>
          <w:b/>
          <w:bCs/>
          <w:sz w:val="22"/>
          <w:szCs w:val="22"/>
        </w:rPr>
        <w:t xml:space="preserve">ЦЕЛЕВЫЕ ЗНАЧЕНИЯ </w:t>
      </w:r>
    </w:p>
    <w:p w:rsidR="009A6716" w:rsidRPr="009A6716" w:rsidRDefault="009A6716" w:rsidP="009A6716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 xml:space="preserve">ПОКАЗАТЕЛЕЙ РАЗВИТИЯ МАТЕМАТИЧЕСКИХ НАУК </w:t>
      </w:r>
    </w:p>
    <w:p w:rsidR="009A6716" w:rsidRPr="009A6716" w:rsidRDefault="009A6716" w:rsidP="009A6716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 xml:space="preserve">В РОССИЙСКОЙ ФЕДЕРАЦИИ НА ПЕРИОД ДО 2030 ГОДА </w:t>
      </w:r>
    </w:p>
    <w:p w:rsidR="009A6716" w:rsidRPr="009A6716" w:rsidRDefault="009A6716" w:rsidP="009A6716">
      <w:pPr>
        <w:pStyle w:val="a3"/>
        <w:spacing w:before="0" w:beforeAutospacing="0" w:after="0" w:afterAutospacing="0" w:line="312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A6716">
        <w:rPr>
          <w:rFonts w:asciiTheme="minorHAnsi" w:hAnsiTheme="minorHAnsi" w:cstheme="minorHAnsi"/>
          <w:b/>
          <w:bCs/>
          <w:sz w:val="22"/>
          <w:szCs w:val="22"/>
        </w:rPr>
        <w:t xml:space="preserve">И НА ПЕРСПЕКТИВУ ДО 2036 ГОДА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(процентов) </w:t>
      </w:r>
    </w:p>
    <w:tbl>
      <w:tblPr>
        <w:tblW w:w="135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1"/>
        <w:gridCol w:w="1826"/>
        <w:gridCol w:w="476"/>
        <w:gridCol w:w="476"/>
        <w:gridCol w:w="477"/>
        <w:gridCol w:w="477"/>
        <w:gridCol w:w="477"/>
        <w:gridCol w:w="477"/>
        <w:gridCol w:w="477"/>
        <w:gridCol w:w="477"/>
        <w:gridCol w:w="477"/>
        <w:gridCol w:w="477"/>
        <w:gridCol w:w="470"/>
      </w:tblGrid>
      <w:tr w:rsidR="009A6716" w:rsidRPr="009A6716" w:rsidTr="009A6716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Сценарий (целевой - </w:t>
            </w:r>
            <w:proofErr w:type="gramStart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>Ц</w:t>
            </w:r>
            <w:proofErr w:type="gramEnd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, консервативный - К)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2026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2027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2028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2029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2030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2031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2032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2033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2034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2035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2036 год </w:t>
            </w:r>
          </w:p>
        </w:tc>
      </w:tr>
      <w:tr w:rsidR="009A6716" w:rsidRPr="009A6716" w:rsidTr="009A6716">
        <w:tc>
          <w:tcPr>
            <w:tcW w:w="0" w:type="auto"/>
            <w:vMerge w:val="restart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1. Доля численности исследователей по группе научных специальностей </w:t>
            </w:r>
          </w:p>
          <w:p w:rsidR="009A6716" w:rsidRPr="009A6716" w:rsidRDefault="009A6716">
            <w:pPr>
              <w:pStyle w:val="a3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1.1. "Математика и механика" в общей численности исследователей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>Ц</w:t>
            </w:r>
            <w:proofErr w:type="gramEnd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3,1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3,2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3,2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3,3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3,4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3,5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3,6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3,7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3,8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3,9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</w:p>
        </w:tc>
      </w:tr>
      <w:tr w:rsidR="009A6716" w:rsidRPr="009A6716" w:rsidTr="009A6716">
        <w:tc>
          <w:tcPr>
            <w:tcW w:w="0" w:type="auto"/>
            <w:vMerge/>
            <w:tcBorders>
              <w:top w:val="single" w:sz="6" w:space="0" w:color="000000"/>
            </w:tcBorders>
            <w:vAlign w:val="center"/>
            <w:hideMark/>
          </w:tcPr>
          <w:p w:rsidR="009A6716" w:rsidRPr="009A6716" w:rsidRDefault="009A671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К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2,8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2,7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2,6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2,2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2,1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1,9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1,8 </w:t>
            </w:r>
          </w:p>
        </w:tc>
      </w:tr>
      <w:tr w:rsidR="009A6716" w:rsidRPr="009A6716" w:rsidTr="009A6716">
        <w:tc>
          <w:tcPr>
            <w:tcW w:w="0" w:type="auto"/>
            <w:vMerge w:val="restart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2. Доля численности исследователей по группе научных специальностей </w:t>
            </w:r>
          </w:p>
          <w:p w:rsidR="009A6716" w:rsidRPr="009A6716" w:rsidRDefault="009A6716">
            <w:pPr>
              <w:pStyle w:val="a3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1.2. "Компьютерные науки и информатика" в общей численности исследователей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>Ц</w:t>
            </w:r>
            <w:proofErr w:type="gramEnd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2,6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2,6 </w:t>
            </w:r>
          </w:p>
        </w:tc>
      </w:tr>
      <w:tr w:rsidR="009A6716" w:rsidRPr="009A6716" w:rsidTr="009A6716">
        <w:tc>
          <w:tcPr>
            <w:tcW w:w="0" w:type="auto"/>
            <w:vMerge/>
            <w:vAlign w:val="center"/>
            <w:hideMark/>
          </w:tcPr>
          <w:p w:rsidR="009A6716" w:rsidRPr="009A6716" w:rsidRDefault="009A671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К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</w:tr>
      <w:tr w:rsidR="009A6716" w:rsidRPr="009A6716" w:rsidTr="009A6716">
        <w:tc>
          <w:tcPr>
            <w:tcW w:w="0" w:type="auto"/>
            <w:vMerge w:val="restart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3. Доля лиц, завершивших </w:t>
            </w:r>
            <w:proofErr w:type="gramStart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>обучение по программам</w:t>
            </w:r>
            <w:proofErr w:type="gramEnd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 подготовки научных и научно-педагогических кадров в аспирантуре защитой диссертаций на соискание ученой степени кандидата наук, а также лиц, защитивших диссертации на соискание ученой степени доктора наук по итогам пребывания в докторантуре по группе научных специальностей </w:t>
            </w:r>
          </w:p>
          <w:p w:rsidR="009A6716" w:rsidRPr="009A6716" w:rsidRDefault="009A6716">
            <w:pPr>
              <w:pStyle w:val="a3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1.1. "Математика и механика", в общей </w:t>
            </w:r>
            <w:proofErr w:type="gramStart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>численности</w:t>
            </w:r>
            <w:proofErr w:type="gramEnd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 поступивших в аспирантуру и направленных в докторантуру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>Ц</w:t>
            </w:r>
            <w:proofErr w:type="gramEnd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1,6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1,7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1,8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2,8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3,1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</w:p>
        </w:tc>
      </w:tr>
      <w:tr w:rsidR="009A6716" w:rsidRPr="009A6716" w:rsidTr="009A6716">
        <w:tc>
          <w:tcPr>
            <w:tcW w:w="0" w:type="auto"/>
            <w:vMerge/>
            <w:vAlign w:val="center"/>
            <w:hideMark/>
          </w:tcPr>
          <w:p w:rsidR="009A6716" w:rsidRPr="009A6716" w:rsidRDefault="009A671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К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1,3 </w:t>
            </w:r>
          </w:p>
        </w:tc>
      </w:tr>
      <w:tr w:rsidR="009A6716" w:rsidRPr="009A6716" w:rsidTr="009A6716"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4. Доля лиц, завершивших </w:t>
            </w:r>
            <w:proofErr w:type="gramStart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>обучение по программам</w:t>
            </w:r>
            <w:proofErr w:type="gramEnd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>Ц</w:t>
            </w:r>
            <w:proofErr w:type="gramEnd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2,8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3,1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3,2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3,4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3,7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3,9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4,2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4,5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4,9 </w:t>
            </w:r>
          </w:p>
        </w:tc>
        <w:tc>
          <w:tcPr>
            <w:tcW w:w="0" w:type="auto"/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5,5 </w:t>
            </w:r>
          </w:p>
        </w:tc>
      </w:tr>
      <w:tr w:rsidR="009A6716" w:rsidRPr="009A6716" w:rsidTr="009A671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 w:line="288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подготовки научных и научно-педагогических кадров в аспирантуре </w:t>
            </w:r>
            <w:r w:rsidRPr="009A671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защитой диссертаций на соискание ученой степени кандидата наук, а также лиц, защитивших диссертации на соискание ученой степени доктора наук по итогам пребывания в докторантуре по группе научных специальностей 1.2. "Компьютерные науки и информатика", в общей </w:t>
            </w:r>
            <w:proofErr w:type="gramStart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>численности</w:t>
            </w:r>
            <w:proofErr w:type="gramEnd"/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 поступивших в аспирантуру и направленных в докторантуру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К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2,8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2,8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2,8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2,8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2,7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2,7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2,7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2,7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2,6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2,6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9A6716" w:rsidRPr="009A6716" w:rsidRDefault="009A6716">
            <w:pPr>
              <w:pStyle w:val="a3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6716">
              <w:rPr>
                <w:rFonts w:asciiTheme="minorHAnsi" w:hAnsiTheme="minorHAnsi" w:cstheme="minorHAnsi"/>
                <w:sz w:val="20"/>
                <w:szCs w:val="20"/>
              </w:rPr>
              <w:t xml:space="preserve">2,6 </w:t>
            </w:r>
          </w:p>
        </w:tc>
      </w:tr>
    </w:tbl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9A6716">
        <w:rPr>
          <w:rFonts w:asciiTheme="minorHAnsi" w:hAnsiTheme="minorHAnsi" w:cstheme="minorHAnsi"/>
          <w:sz w:val="20"/>
          <w:szCs w:val="20"/>
        </w:rPr>
        <w:lastRenderedPageBreak/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  </w:t>
      </w:r>
    </w:p>
    <w:p w:rsidR="009A6716" w:rsidRPr="009A6716" w:rsidRDefault="009A6716" w:rsidP="009A6716">
      <w:pPr>
        <w:pStyle w:val="a3"/>
        <w:spacing w:before="0" w:beforeAutospacing="0" w:after="0" w:afterAutospacing="0" w:line="288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9A6716">
        <w:rPr>
          <w:rFonts w:asciiTheme="minorHAnsi" w:hAnsiTheme="minorHAnsi" w:cstheme="minorHAnsi"/>
          <w:sz w:val="22"/>
          <w:szCs w:val="22"/>
        </w:rPr>
        <w:t xml:space="preserve">------------------------------------------------------------------ </w:t>
      </w:r>
    </w:p>
    <w:p w:rsidR="0007239A" w:rsidRPr="009A6716" w:rsidRDefault="0007239A" w:rsidP="00483E8E">
      <w:pPr>
        <w:rPr>
          <w:rFonts w:cstheme="minorHAnsi"/>
        </w:rPr>
      </w:pPr>
    </w:p>
    <w:sectPr w:rsidR="0007239A" w:rsidRPr="009A6716" w:rsidSect="009A67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FDE"/>
    <w:multiLevelType w:val="multilevel"/>
    <w:tmpl w:val="2B5C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52673"/>
    <w:multiLevelType w:val="multilevel"/>
    <w:tmpl w:val="8A10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A6263"/>
    <w:multiLevelType w:val="multilevel"/>
    <w:tmpl w:val="8CBC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576A8C"/>
    <w:multiLevelType w:val="multilevel"/>
    <w:tmpl w:val="B9AC7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E07C8A"/>
    <w:multiLevelType w:val="multilevel"/>
    <w:tmpl w:val="F65A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F8D036E"/>
    <w:multiLevelType w:val="multilevel"/>
    <w:tmpl w:val="958C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D74CD3"/>
    <w:multiLevelType w:val="multilevel"/>
    <w:tmpl w:val="E8A6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9DE27E8"/>
    <w:multiLevelType w:val="multilevel"/>
    <w:tmpl w:val="4CA8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08A4218"/>
    <w:multiLevelType w:val="multilevel"/>
    <w:tmpl w:val="972E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604C2F"/>
    <w:multiLevelType w:val="multilevel"/>
    <w:tmpl w:val="B548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16514E"/>
    <w:multiLevelType w:val="multilevel"/>
    <w:tmpl w:val="CF62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A9B1A7B"/>
    <w:multiLevelType w:val="multilevel"/>
    <w:tmpl w:val="4CAA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0A7527"/>
    <w:multiLevelType w:val="multilevel"/>
    <w:tmpl w:val="66FE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B91E58"/>
    <w:multiLevelType w:val="multilevel"/>
    <w:tmpl w:val="812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11"/>
  </w:num>
  <w:num w:numId="12">
    <w:abstractNumId w:val="0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07239A"/>
    <w:rsid w:val="00124FEF"/>
    <w:rsid w:val="002426F7"/>
    <w:rsid w:val="002D7D9A"/>
    <w:rsid w:val="00310DB7"/>
    <w:rsid w:val="00462A73"/>
    <w:rsid w:val="004826A7"/>
    <w:rsid w:val="00483E8E"/>
    <w:rsid w:val="005005D7"/>
    <w:rsid w:val="00587BCD"/>
    <w:rsid w:val="006C1DB3"/>
    <w:rsid w:val="00706CBD"/>
    <w:rsid w:val="007C2449"/>
    <w:rsid w:val="00847224"/>
    <w:rsid w:val="008F54BB"/>
    <w:rsid w:val="009A6716"/>
    <w:rsid w:val="00A3252E"/>
    <w:rsid w:val="00BA239D"/>
    <w:rsid w:val="00EF6805"/>
    <w:rsid w:val="00F56D27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3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65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7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9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2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8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8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5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83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0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4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7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59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3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7600</Words>
  <Characters>43320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2</cp:revision>
  <dcterms:created xsi:type="dcterms:W3CDTF">2026-09-29T12:21:00Z</dcterms:created>
  <dcterms:modified xsi:type="dcterms:W3CDTF">2026-09-29T12:21:00Z</dcterms:modified>
</cp:coreProperties>
</file>