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D91041" w:rsidP="0049081B">
      <w:pPr>
        <w:pStyle w:val="a9"/>
        <w:spacing w:before="0" w:line="240" w:lineRule="atLeast"/>
        <w:rPr>
          <w:b/>
        </w:rPr>
      </w:pPr>
      <w:bookmarkStart w:id="0" w:name="_GoBack"/>
      <w:bookmarkEnd w:id="0"/>
      <w:r w:rsidRPr="00112200">
        <w:rPr>
          <w:b/>
        </w:rPr>
        <w:t>ПОЯСНИТЕЛЬНАЯ ЗАПИСКА</w:t>
      </w:r>
    </w:p>
    <w:p w:rsidR="0049081B" w:rsidRPr="00112200" w:rsidRDefault="0049081B" w:rsidP="0049081B">
      <w:pPr>
        <w:pStyle w:val="a9"/>
        <w:spacing w:before="0" w:line="120" w:lineRule="exact"/>
        <w:rPr>
          <w:b/>
        </w:rPr>
      </w:pPr>
    </w:p>
    <w:p w:rsidR="00AB4C1F" w:rsidRPr="00112200" w:rsidRDefault="00D91041" w:rsidP="0049081B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</w:p>
    <w:p w:rsidR="00AB4C1F" w:rsidRDefault="00EC6A52" w:rsidP="0049081B">
      <w:pPr>
        <w:pStyle w:val="aa"/>
        <w:spacing w:before="0" w:line="240" w:lineRule="atLeas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 w:rsidR="00D91041" w:rsidRPr="00112200">
        <w:rPr>
          <w:rFonts w:ascii="Times New Roman" w:hAnsi="Times New Roman"/>
        </w:rPr>
        <w:t xml:space="preserve">О внесении изменений в части первую и вторую Налогового кодекса Российской Федерации и отдельные законодательные акты </w:t>
      </w:r>
      <w:r w:rsidR="0049081B">
        <w:rPr>
          <w:rFonts w:ascii="Times New Roman" w:hAnsi="Times New Roman"/>
        </w:rPr>
        <w:br/>
      </w:r>
      <w:r w:rsidR="00D91041" w:rsidRPr="00112200">
        <w:rPr>
          <w:rFonts w:ascii="Times New Roman" w:hAnsi="Times New Roman"/>
        </w:rPr>
        <w:t>Российской Федерации</w:t>
      </w:r>
      <w:r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49081B" w:rsidRDefault="0049081B" w:rsidP="0049081B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49081B" w:rsidRPr="00112200" w:rsidRDefault="0049081B" w:rsidP="0049081B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A2135F" w:rsidRPr="00C77C58" w:rsidRDefault="00D91041" w:rsidP="00A2135F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proofErr w:type="gramStart"/>
      <w:r w:rsidRPr="00C77C58">
        <w:rPr>
          <w:rFonts w:ascii="Times New Roman" w:eastAsia="Calibri" w:hAnsi="Times New Roman"/>
          <w:szCs w:val="28"/>
        </w:rPr>
        <w:t>Проект федерального закона «</w:t>
      </w:r>
      <w:r w:rsidRPr="00C77C58">
        <w:rPr>
          <w:rFonts w:ascii="Times New Roman" w:hAnsi="Times New Roman"/>
          <w:szCs w:val="28"/>
        </w:rPr>
        <w:t>О внесении изменений в части первую и вторую Налогового кодекса Российской Федерации и отдельные законодательные акты Российской Федерации</w:t>
      </w:r>
      <w:r w:rsidRPr="00C77C58">
        <w:rPr>
          <w:rFonts w:ascii="Times New Roman" w:eastAsia="Calibri" w:hAnsi="Times New Roman"/>
          <w:szCs w:val="28"/>
        </w:rPr>
        <w:t>» подготовлен во исполнение пункта 22 Плана законопроектной деятельности Правительства Российской Федерации, утвержденного распоряжением Правительства Российской Федерации от 19.12.2025 № 3886-р, (далее – законопроект) и направлен на реализацию</w:t>
      </w:r>
      <w:r w:rsidRPr="00C77C58">
        <w:rPr>
          <w:rFonts w:ascii="Times New Roman" w:hAnsi="Times New Roman"/>
          <w:szCs w:val="28"/>
        </w:rPr>
        <w:t xml:space="preserve"> отдельных положений основных направлений бюджетной, налоговой и таможенно-тарифной политики Российской Федерации.</w:t>
      </w:r>
      <w:proofErr w:type="gramEnd"/>
    </w:p>
    <w:p w:rsidR="00A2135F" w:rsidRPr="00C77C58" w:rsidRDefault="00D91041" w:rsidP="00A2135F">
      <w:pPr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C77C58">
        <w:rPr>
          <w:rFonts w:ascii="Times New Roman" w:hAnsi="Times New Roman"/>
          <w:szCs w:val="28"/>
        </w:rPr>
        <w:t>Кроме того, в законопроекте учтены отдельные поручения Президента Российской Федерации и Правительства Российской Федерации. Также законопроектом вносятся изменения на основании правоприменительной практики и в целях приведения законодательства Российской Федерации</w:t>
      </w:r>
      <w:r w:rsidRPr="00C77C58">
        <w:rPr>
          <w:rFonts w:ascii="Times New Roman" w:hAnsi="Times New Roman"/>
          <w:szCs w:val="28"/>
        </w:rPr>
        <w:br/>
        <w:t>о налогах и сборах в соответствие с законодательством Российской Федерации.</w:t>
      </w:r>
    </w:p>
    <w:p w:rsidR="00A2135F" w:rsidRPr="00C77C58" w:rsidRDefault="00D91041" w:rsidP="00A2135F">
      <w:pPr>
        <w:tabs>
          <w:tab w:val="left" w:pos="993"/>
        </w:tabs>
        <w:spacing w:line="240" w:lineRule="auto"/>
        <w:ind w:firstLine="709"/>
        <w:contextualSpacing/>
        <w:rPr>
          <w:rFonts w:ascii="Times New Roman" w:hAnsi="Times New Roman"/>
          <w:szCs w:val="28"/>
        </w:rPr>
      </w:pPr>
      <w:r w:rsidRPr="00C77C58">
        <w:rPr>
          <w:rFonts w:ascii="Times New Roman" w:hAnsi="Times New Roman"/>
          <w:szCs w:val="28"/>
        </w:rPr>
        <w:t xml:space="preserve">В частности, законопроектом предлагаются следующие изменения. 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налогового администрирования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Наделение цифровых платформ отдельными функциями налогового администрирования в части обеспечения информационного взаимодействия между налоговым органом и партнером цифровой платформы.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Совершенствование института отсрочек и рассрочек по уплате обязательных платежей, в части установления возможности получения рассрочки по отсроченным платежам в целях снижения налоговой нагрузки нуждающимся в этом лицам.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Расширение информационного обмена между налоговыми органами и Социальным фондом России в целях предоставления налоговых льгот физическим лицам по имущественным налогам в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беззаявительном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порядке.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Расширение периметра налогового мониторинга за счет отмены обязательности соответствия кандидата в налоговый мониторинг трем установленным критериям (объем выручки, величина активов, размер уплаченных налогов) и оставление обязательности соответствия любому из этих трех, а также за счет отмены данных критериев для </w:t>
      </w: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кандидата-правопреемника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реорганизованного участника налогового мониторинга.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Совершенствование</w:t>
      </w:r>
      <w:r w:rsidR="00E63E2C" w:rsidRPr="00C77C58">
        <w:rPr>
          <w:rFonts w:ascii="Times New Roman" w:eastAsia="Calibri" w:hAnsi="Times New Roman" w:cs="Times New Roman"/>
          <w:sz w:val="28"/>
          <w:szCs w:val="28"/>
        </w:rPr>
        <w:t xml:space="preserve"> контроля за исполнением организациями обязанности по постановке на учет своих обособленных подразделений в части предоставления регионам возможности представления в налоговый орган информации о неучтенных на их территориях обособленных подразделениях организаций, и наделения налоговых органов полномочиями проводить </w:t>
      </w:r>
      <w:r w:rsidR="00E63E2C" w:rsidRPr="00C77C58">
        <w:rPr>
          <w:rFonts w:ascii="Times New Roman" w:eastAsia="Calibri" w:hAnsi="Times New Roman" w:cs="Times New Roman"/>
          <w:sz w:val="28"/>
          <w:szCs w:val="28"/>
        </w:rPr>
        <w:lastRenderedPageBreak/>
        <w:t>отдельные мероприятия налогового контроля по проверке представленной информации.</w:t>
      </w:r>
      <w:proofErr w:type="gramEnd"/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Продление до 2029 года особых полномочий Правительства Российской Федерации по изданию правовых актов, регулирующих отдельные налоговые правоотношения.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Установление днем окончания срока уплаты налога в декабре, если последний день срока уплаты налога приходится на выходной, предшествующего ему рабочего дня в целях </w:t>
      </w: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исключения рисков возникновения кассовых разрывов бюджетов бюджетной системы Российской Федерации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в конце календарного года.  </w:t>
      </w:r>
    </w:p>
    <w:p w:rsidR="00A2135F" w:rsidRPr="00C77C58" w:rsidRDefault="00D91041" w:rsidP="00A2135F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Приведение размеров штрафов к их экономически оправданной величине путем их индексации на уровень прошедшей с года их установления инфляции.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налога на добавленную стоимость</w:t>
      </w:r>
    </w:p>
    <w:p w:rsidR="00A2135F" w:rsidRPr="00C77C58" w:rsidRDefault="00D91041" w:rsidP="00A2135F">
      <w:pPr>
        <w:pStyle w:val="ab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Не признавать объектом налогообложения налогом на добавленную стоимость (далее – НДС) передачу на безвозмездной основе в государственную казну не только недвижимого, но и движимого имущества.</w:t>
      </w:r>
    </w:p>
    <w:p w:rsidR="00A2135F" w:rsidRPr="00C77C58" w:rsidRDefault="00D91041" w:rsidP="00A2135F">
      <w:pPr>
        <w:pStyle w:val="ab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Распространение на индивидуальных предпринимателей, осуществляющих деятельность в сфере культуры и искусства, освобождения от уплаты НДС, действующего в настоящее время для организаций, осуществляющих аналогичную деятельность, а также предусмотреть освобождение от уплаты НДС в отношении услуг, оказываемых дельфинариями.  </w:t>
      </w:r>
    </w:p>
    <w:p w:rsidR="00A2135F" w:rsidRPr="00C77C58" w:rsidRDefault="00D91041" w:rsidP="00A2135F">
      <w:pPr>
        <w:pStyle w:val="ab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Для организаций, оказывающих услуги общественного питания,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>в случае привлечения к трудовой деятельности временно пребывающих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>на территории Российской Федерации иностранных граждан, являющихся высококвалифицированными специалистами, в целях определения своего соответствия условиям, установленным для освобождения от НДС, предлагается учитывать суммы выплат и иных вознаграждений в пользу указанных иностранных граждан.</w:t>
      </w:r>
    </w:p>
    <w:p w:rsidR="00A2135F" w:rsidRDefault="00D91041" w:rsidP="00A2135F">
      <w:pPr>
        <w:pStyle w:val="ab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Продление до 1 января 2030 года действие налоговой ставки НДС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 xml:space="preserve">в размере 0 процентов в отношении авиаперевозок в (из) аэропортов Дальневосточного федерального округа, Республики Крым или г. Севастополя и налоговой ставки НДС в размере 10 процентов </w:t>
      </w: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(из) аэропортов Московского авиационного узла.</w:t>
      </w:r>
    </w:p>
    <w:p w:rsidR="00A2135F" w:rsidRPr="00237D4C" w:rsidRDefault="00D91041" w:rsidP="00A2135F">
      <w:pPr>
        <w:pStyle w:val="ab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7D4C">
        <w:rPr>
          <w:rFonts w:ascii="Times New Roman" w:hAnsi="Times New Roman"/>
          <w:color w:val="000000" w:themeColor="text1"/>
          <w:sz w:val="28"/>
          <w:szCs w:val="28"/>
        </w:rPr>
        <w:t>Предлагается комплексный механизм налогового стимулирования расходов на защиту от беспилотных аппаратов (</w:t>
      </w:r>
      <w:proofErr w:type="spellStart"/>
      <w:r w:rsidRPr="00237D4C">
        <w:rPr>
          <w:rFonts w:ascii="Times New Roman" w:hAnsi="Times New Roman"/>
          <w:color w:val="000000" w:themeColor="text1"/>
          <w:sz w:val="28"/>
          <w:szCs w:val="28"/>
        </w:rPr>
        <w:t>БПА</w:t>
      </w:r>
      <w:proofErr w:type="spellEnd"/>
      <w:r w:rsidRPr="00237D4C">
        <w:rPr>
          <w:rFonts w:ascii="Times New Roman" w:hAnsi="Times New Roman"/>
          <w:color w:val="000000" w:themeColor="text1"/>
          <w:sz w:val="28"/>
          <w:szCs w:val="28"/>
        </w:rPr>
        <w:t>).</w:t>
      </w:r>
      <w:r w:rsidRPr="00237D4C">
        <w:rPr>
          <w:rFonts w:ascii="Times New Roman" w:hAnsi="Times New Roman"/>
          <w:sz w:val="28"/>
          <w:szCs w:val="28"/>
        </w:rPr>
        <w:t xml:space="preserve"> </w:t>
      </w:r>
    </w:p>
    <w:p w:rsidR="00A2135F" w:rsidRPr="00237D4C" w:rsidRDefault="00D91041" w:rsidP="00A2135F">
      <w:pPr>
        <w:tabs>
          <w:tab w:val="left" w:pos="9781"/>
        </w:tabs>
        <w:ind w:firstLine="709"/>
        <w:rPr>
          <w:rFonts w:ascii="Times New Roman" w:hAnsi="Times New Roman"/>
          <w:szCs w:val="28"/>
        </w:rPr>
      </w:pPr>
      <w:r w:rsidRPr="00237D4C">
        <w:rPr>
          <w:rFonts w:ascii="Times New Roman" w:hAnsi="Times New Roman"/>
          <w:szCs w:val="28"/>
        </w:rPr>
        <w:t>В части НДС предлагается не признавать объектом налогообложения:</w:t>
      </w:r>
    </w:p>
    <w:p w:rsidR="00A2135F" w:rsidRPr="00237D4C" w:rsidRDefault="00D91041" w:rsidP="00A2135F">
      <w:pPr>
        <w:tabs>
          <w:tab w:val="left" w:pos="9781"/>
        </w:tabs>
        <w:ind w:firstLine="709"/>
        <w:rPr>
          <w:rFonts w:ascii="Times New Roman" w:hAnsi="Times New Roman"/>
          <w:szCs w:val="28"/>
        </w:rPr>
      </w:pPr>
      <w:r w:rsidRPr="00237D4C">
        <w:rPr>
          <w:rFonts w:ascii="Times New Roman" w:hAnsi="Times New Roman"/>
          <w:szCs w:val="28"/>
        </w:rPr>
        <w:t xml:space="preserve">- передачу товаров (выполнение работ, оказание услуг), передачу имущественных прав на безвозмездной основе Минобороны России, </w:t>
      </w:r>
      <w:proofErr w:type="spellStart"/>
      <w:r w:rsidRPr="00237D4C">
        <w:rPr>
          <w:rFonts w:ascii="Times New Roman" w:hAnsi="Times New Roman"/>
          <w:szCs w:val="28"/>
        </w:rPr>
        <w:t>Росгвардии</w:t>
      </w:r>
      <w:proofErr w:type="spellEnd"/>
      <w:r w:rsidRPr="00237D4C">
        <w:rPr>
          <w:rFonts w:ascii="Times New Roman" w:hAnsi="Times New Roman"/>
          <w:szCs w:val="28"/>
        </w:rPr>
        <w:t xml:space="preserve">, ФСБ России и МЧС России для целей защиты от </w:t>
      </w:r>
      <w:proofErr w:type="spellStart"/>
      <w:r w:rsidRPr="00237D4C">
        <w:rPr>
          <w:rFonts w:ascii="Times New Roman" w:hAnsi="Times New Roman"/>
          <w:szCs w:val="28"/>
        </w:rPr>
        <w:t>БПА</w:t>
      </w:r>
      <w:proofErr w:type="spellEnd"/>
      <w:r w:rsidRPr="00237D4C">
        <w:rPr>
          <w:rFonts w:ascii="Times New Roman" w:hAnsi="Times New Roman"/>
          <w:szCs w:val="28"/>
        </w:rPr>
        <w:t>;</w:t>
      </w:r>
    </w:p>
    <w:p w:rsidR="00A2135F" w:rsidRPr="00237D4C" w:rsidRDefault="00D91041" w:rsidP="00A2135F">
      <w:pPr>
        <w:tabs>
          <w:tab w:val="left" w:pos="9781"/>
        </w:tabs>
        <w:ind w:firstLine="709"/>
        <w:rPr>
          <w:rFonts w:ascii="Times New Roman" w:hAnsi="Times New Roman"/>
          <w:szCs w:val="28"/>
        </w:rPr>
      </w:pPr>
      <w:r w:rsidRPr="00237D4C">
        <w:rPr>
          <w:rFonts w:ascii="Times New Roman" w:hAnsi="Times New Roman"/>
          <w:szCs w:val="28"/>
        </w:rPr>
        <w:t xml:space="preserve">- передачу на безвозмездной основе питания гражданам, находящимся </w:t>
      </w:r>
      <w:r w:rsidRPr="00237D4C">
        <w:rPr>
          <w:rFonts w:ascii="Times New Roman" w:hAnsi="Times New Roman"/>
          <w:szCs w:val="28"/>
        </w:rPr>
        <w:br/>
        <w:t xml:space="preserve">в защитных сооружениях, подвалах, иных аналогичных объектах, </w:t>
      </w:r>
      <w:r w:rsidRPr="00237D4C">
        <w:rPr>
          <w:rFonts w:ascii="Times New Roman" w:hAnsi="Times New Roman"/>
          <w:szCs w:val="28"/>
        </w:rPr>
        <w:lastRenderedPageBreak/>
        <w:t xml:space="preserve">принадлежащих налогоплательщику на праве собственности или ином законном основании, в целях их защиты от применения (использования) </w:t>
      </w:r>
      <w:proofErr w:type="spellStart"/>
      <w:r w:rsidRPr="00237D4C">
        <w:rPr>
          <w:rFonts w:ascii="Times New Roman" w:hAnsi="Times New Roman"/>
          <w:szCs w:val="28"/>
        </w:rPr>
        <w:t>БПА</w:t>
      </w:r>
      <w:proofErr w:type="spellEnd"/>
      <w:r w:rsidRPr="00237D4C">
        <w:rPr>
          <w:rFonts w:ascii="Times New Roman" w:hAnsi="Times New Roman"/>
          <w:szCs w:val="28"/>
        </w:rPr>
        <w:t>.</w:t>
      </w:r>
    </w:p>
    <w:p w:rsidR="00A2135F" w:rsidRPr="00237D4C" w:rsidRDefault="00D91041" w:rsidP="00A2135F">
      <w:pPr>
        <w:tabs>
          <w:tab w:val="left" w:pos="9781"/>
        </w:tabs>
        <w:ind w:firstLine="709"/>
        <w:rPr>
          <w:rFonts w:ascii="Times New Roman" w:hAnsi="Times New Roman"/>
          <w:szCs w:val="28"/>
        </w:rPr>
      </w:pPr>
      <w:r w:rsidRPr="00237D4C">
        <w:rPr>
          <w:rFonts w:ascii="Times New Roman" w:hAnsi="Times New Roman"/>
          <w:szCs w:val="28"/>
        </w:rPr>
        <w:t>При этом предлагается сохранить за налогоплательщиками, осуществляющими указанные операции, право на вычет “входного” НДС.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Акцизы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В целях налогообложения акцизом на нефтяное сырье уточняется условие по объему выработки отдельных категорий нефтепродуктов из нефтяного сырья – так, данное условие предлагается применять в отношении каждого нефтеперерабатывающего завода отдельно. Кроме того, уточняется порядок определения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Спю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в случае возврата ранее реализованных (переданных) нефтепродуктов.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В целях повышения определенности в вопросах идентификации подакцизных товаров уточняются критерии в отношении виноградного сусла, а также для признания нефтяным сырьем вакуумного газойля и гудрона.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Минимизация рисков потерь бюджета в результате завышения коэффициента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Спю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путем отнесения продуктов вторичной переработки нефти, являющихся нефтяным сырьем, к светлым продуктам.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Отмена особых условий в части налогообложения акцизами для производителей лекарственных средств и (или) лекарственных препаратов, и (или) медицинских изделий, использующих фармацевтическую субстанцию спирта этилового менее 500 000 литров в год, поскольку сохраняется риск для производства суррогатного алкоголя.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2283">
        <w:rPr>
          <w:rFonts w:ascii="Times New Roman" w:eastAsia="Calibri" w:hAnsi="Times New Roman" w:cs="Times New Roman"/>
          <w:sz w:val="28"/>
          <w:szCs w:val="28"/>
        </w:rPr>
        <w:t xml:space="preserve">Опережающая индексация ставок акцизов выше прогнозируемого уровня инфляции </w:t>
      </w:r>
      <w:r w:rsidRPr="00C77C58">
        <w:rPr>
          <w:rFonts w:ascii="Times New Roman" w:eastAsia="Calibri" w:hAnsi="Times New Roman" w:cs="Times New Roman"/>
          <w:sz w:val="28"/>
          <w:szCs w:val="28"/>
        </w:rPr>
        <w:t>на 2027 – 202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гг. Соответственно уточнены и определены параметры налоговых вычетов сумм акцизов в отношении винодельческой продукции.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Индексация на уровень инфляции условных значений средней оптовой цены реализации на территории Российской Федерации авиационного керосина, автомобильного бензина класса 5 и дизельного топлива, а также установление таких значений на 2029 год.</w:t>
      </w:r>
    </w:p>
    <w:p w:rsidR="00A2135F" w:rsidRPr="00C77C58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Дополнен перечень документов, необходимых в целях подтверждения вычета акциз в отношении спирта, использованного для производства алкогольной продукции. </w:t>
      </w:r>
    </w:p>
    <w:p w:rsidR="00A2135F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Уточнен порядок налоговых вычетов в отношении сумм акцизов, уплаченных при приобретении и (или) ввозе на территорию Российской Федерации коньячных дистиллятов, используемых для производства коньяка, с учетом требований Федерального закона от 27 декабря 2019 года № 468-ФЗ «О виноградарстве и виноделии в Российской Федерации», касающихся периодов «отдыха» коньяка, произведенного из таких дистиллятов, когда фактически полученный товар невозможно реализовать в силу требований законодательства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Федерации.</w:t>
      </w:r>
    </w:p>
    <w:p w:rsidR="00A2135F" w:rsidRPr="005374FA" w:rsidRDefault="00D91041" w:rsidP="00A2135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Признание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безникотиновой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жидкости для электронных систем доставки никотина подакцизным товаром.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 части налога на доходы физических лиц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Уточнение порядка налогообложения доходов в виде процентов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>по вкладам (счетам) в банках, открытых доверительным управляющим: такие доходы подлежат налогообложению в общем порядке, установленном для налогообложения процентов по вкладам (счетам) в банках. Кроме того, устанавливается обязанность налоговых агентов по исчислению и удержанию налога при выплате доходов в виде процентов по вкладам (счетам) в банках в течение налогового периода.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Объединение большинства видов доходов физических лиц в одну совокупность налоговых баз, к которым применяются дифференцированные налоговые ставки в размере от 13 до 22 процентов.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Уточнение условий освобождения от налогообложения доходов в виде сумм единовременных выплат (в том числе в виде материальной помощи), выплачиваемой работодателем работникам (родителям, усыновителям, опекунам) при рождении (усыновлении (удочерении) ребенка, установлении опеки над ребенком: выплаты, которые производятся в период отпуска по беременности и родам до рождения ребенка, также освобождаются от налогообложения.</w:t>
      </w:r>
      <w:proofErr w:type="gramEnd"/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Уточнение условий освобождения от налогообложения доходов в виде сумм, уплаченных работодателями за оказание медицинских услуг своим работникам, их супругам, родителям, детям (в том числе усыновленным), подопечным в возрасте до 18 лет, а также бывшим своим работникам, уволившимся в связи с выходом на пенсию по инвалидности или по старости: исключение условия, что указанные суммы не облагаются налогом на доходы физических лиц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(далее –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НДФЛ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>) только, если они остались в распоряжении работодателей после уплаты налога на прибыль.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Предусматривается, что при получении дохода в виде имущественных прав в порядке дарения такой доход освобождается от налогообложения только, если даритель и одаряемый являются членами семьи и (или) близкими родственниками в соответствии с Семейным кодексом Российской Федерации.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Расширение сферы применения налоговой льготы, установленной для семей с детьми в отношении дохода от продажи жилого помещения при улучшении жилищных условий: льгота применяется не только при покупке, в частности, индивидуального жилого дома, но также при строительстве индивидуального жилого дома.</w:t>
      </w:r>
      <w:proofErr w:type="gramEnd"/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Установление права на получение социального налогового вычета по расходам на приобретение медицинских изделий, необходимых для проведения операций.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Распространение на военнослужащих (служащих) нормы о предоставлении им налоговыми агентами стандартного налогового вычета на детей в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беззаявительном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порядке при наличии у налоговых агентов необходимых сведений.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Уточнение порядка представления организациями (индивидуальными предпринимателями) отчетности по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НДФЛ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в налоговый орган по месту учета в качестве крупнейшего налогоплательщика. Кроме того, для организаций, имеющих обособленные подразделения, сохраняется право представления соответствующей отчетности по месту учета обособленных подразделений в случае представления ими в налоговый орган по месту своего нахождения (по месту учета в качестве крупнейшего налогоплательщика) уведомления о представлении соответствующей отчетности в таком порядке.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Уточнение порядка определения налоговой базы и исчисления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НДФЛ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по доходам в виде выигрышей, полученных от участия в азартных играх, проводимых в букмекерской конторе и тотализаторе.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Установление особенности определения минимального предельного срока владения объектом недвижимого имущества в случае расторжения в отдельном случае договора купли-продажи объекта недвижимого имущества и возврата его в собственность налогоплательщику - продавцу.</w:t>
      </w:r>
    </w:p>
    <w:p w:rsidR="00A2135F" w:rsidRPr="00C77C58" w:rsidRDefault="00D91041" w:rsidP="00A2135F">
      <w:pPr>
        <w:pStyle w:val="ab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Предусмотреть, что при определении суммы налога, подлежащей уплате по доходам от доверительного управления имуществом, составляющим закрытый или интервальный паевой инвестиционный фонд, засчитывается сумма налога на прибыль организаций, исчисленная и уплаченная по доходам от доверительного управления имуществом, составляющим такой паевой инвестиционный фонд.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налога на прибыль организаций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Продление ряда временных, антикризисных мер в связи с сохраняющимся </w:t>
      </w:r>
      <w:proofErr w:type="spellStart"/>
      <w:r w:rsidRPr="00C77C58">
        <w:rPr>
          <w:rFonts w:eastAsia="Times New Roman"/>
          <w:lang w:eastAsia="ru-RU"/>
        </w:rPr>
        <w:t>санкционным</w:t>
      </w:r>
      <w:proofErr w:type="spellEnd"/>
      <w:r w:rsidRPr="00C77C58">
        <w:rPr>
          <w:rFonts w:eastAsia="Times New Roman"/>
          <w:lang w:eastAsia="ru-RU"/>
        </w:rPr>
        <w:t xml:space="preserve"> давлением со стороны недружественных стран.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proofErr w:type="gramStart"/>
      <w:r w:rsidRPr="00C77C58">
        <w:rPr>
          <w:rFonts w:eastAsia="Times New Roman"/>
          <w:lang w:eastAsia="ru-RU"/>
        </w:rPr>
        <w:t xml:space="preserve">Соотнесение доходов личного фонда с максимальной ставкой, предусмотренной для дохода налогоплательщика </w:t>
      </w:r>
      <w:proofErr w:type="spellStart"/>
      <w:r w:rsidRPr="00C77C58">
        <w:rPr>
          <w:rFonts w:eastAsia="Times New Roman"/>
          <w:lang w:eastAsia="ru-RU"/>
        </w:rPr>
        <w:t>НДФЛ</w:t>
      </w:r>
      <w:proofErr w:type="spellEnd"/>
      <w:r w:rsidRPr="00C77C58">
        <w:rPr>
          <w:rFonts w:eastAsia="Times New Roman"/>
          <w:lang w:eastAsia="ru-RU"/>
        </w:rPr>
        <w:t xml:space="preserve"> - физического лица - резидента Российской Федерации, в размере 22 процентов, а также расширение перечня доходов, учитываемых в 90 процентной доле доходов личного фонда, являющейся условием применения 22 процентной ставки, за счет доходов от реализации личным фондом ценных бумаг, удостоверяющих долговые обязательства.</w:t>
      </w:r>
      <w:proofErr w:type="gramEnd"/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Уточнение порядка создания резервов под обесценение ценных бумаг для профессиональных участников рынка ценных бумаг, осуществляющих дилерскую деятельность, в части исключения возможности его создания в отношении эмиссионных ценных бумаг, удостоверяющих их собственные долговые обязательства.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Определение порядка применения пониженных налоговых ставок для организаций - резидентов особых экономических зон в случае расторжения соглашения об осуществлении деятельности по решению суда.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Уточнение </w:t>
      </w:r>
      <w:proofErr w:type="gramStart"/>
      <w:r w:rsidRPr="00C77C58">
        <w:rPr>
          <w:rFonts w:eastAsia="Times New Roman"/>
          <w:lang w:eastAsia="ru-RU"/>
        </w:rPr>
        <w:t>особенностей налогообложения прибыли учредителя доверительного управления</w:t>
      </w:r>
      <w:proofErr w:type="gramEnd"/>
      <w:r w:rsidRPr="00C77C58">
        <w:rPr>
          <w:rFonts w:eastAsia="Times New Roman"/>
          <w:lang w:eastAsia="ru-RU"/>
        </w:rPr>
        <w:t xml:space="preserve"> имуществом в случае, когда он не является выгодоприобретателем.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lastRenderedPageBreak/>
        <w:t>Уточнение момента признания доходов и расходов по судебным решениям о взыскании денежных сумм.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Определение возможности непредставления налоговых деклараций по налогу на прибыль </w:t>
      </w:r>
      <w:proofErr w:type="gramStart"/>
      <w:r w:rsidRPr="00C77C58">
        <w:rPr>
          <w:rFonts w:eastAsia="Times New Roman"/>
          <w:lang w:eastAsia="ru-RU"/>
        </w:rPr>
        <w:t>организаций</w:t>
      </w:r>
      <w:proofErr w:type="gramEnd"/>
      <w:r w:rsidRPr="00C77C58">
        <w:rPr>
          <w:rFonts w:eastAsia="Times New Roman"/>
          <w:lang w:eastAsia="ru-RU"/>
        </w:rPr>
        <w:t xml:space="preserve"> по месту нахождения обособленных подразделений начиная с отчетности за отчетные (налоговый) периоды 2027 года.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В связи с освобождением от налогообложения отдельных видов доходов, полученных от использования средств целевого капитала, предлагается не включать в расходы, учитываемые для целей налогообложения, пожертвования некоммерческим организациям</w:t>
      </w:r>
      <w:r w:rsidR="00FD6D60" w:rsidRPr="00FD6D60">
        <w:rPr>
          <w:rFonts w:eastAsia="Times New Roman"/>
          <w:lang w:eastAsia="ru-RU"/>
        </w:rPr>
        <w:t xml:space="preserve"> </w:t>
      </w:r>
      <w:r w:rsidRPr="00C77C58">
        <w:rPr>
          <w:rFonts w:eastAsia="Times New Roman"/>
          <w:lang w:eastAsia="ru-RU"/>
        </w:rPr>
        <w:t>в целевой капитал.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Уточнение отдельных положений, предусматривающих запрет высокодоходным компаниям применять инвестиционный вычет для уменьшения налога на прибыль, зачисляемого в федеральный бюджет.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Формирование равных налоговых условий для разных форматов </w:t>
      </w:r>
      <w:proofErr w:type="gramStart"/>
      <w:r w:rsidRPr="00C77C58">
        <w:rPr>
          <w:rFonts w:eastAsia="Times New Roman"/>
          <w:lang w:eastAsia="ru-RU"/>
        </w:rPr>
        <w:t>цифрового</w:t>
      </w:r>
      <w:proofErr w:type="gramEnd"/>
      <w:r w:rsidRPr="00C77C58">
        <w:rPr>
          <w:rFonts w:eastAsia="Times New Roman"/>
          <w:lang w:eastAsia="ru-RU"/>
        </w:rPr>
        <w:t xml:space="preserve"> контента (предоставление возможности сервисам, предоставляющим доступ к электронным и аудиокнигам по подписной модели, по аналогии с аудиовизуальными сервисами и музыкальными платформами, применять налоговые преференции, предусмотренные</w:t>
      </w:r>
      <w:r w:rsidR="00FD6D60" w:rsidRPr="00FD6D60">
        <w:rPr>
          <w:rFonts w:eastAsia="Times New Roman"/>
          <w:lang w:eastAsia="ru-RU"/>
        </w:rPr>
        <w:t xml:space="preserve"> </w:t>
      </w:r>
      <w:r w:rsidRPr="00C77C58">
        <w:rPr>
          <w:rFonts w:eastAsia="Times New Roman"/>
          <w:lang w:eastAsia="ru-RU"/>
        </w:rPr>
        <w:t xml:space="preserve">для </w:t>
      </w:r>
      <w:proofErr w:type="spellStart"/>
      <w:r w:rsidRPr="00C77C58">
        <w:rPr>
          <w:rFonts w:eastAsia="Times New Roman"/>
          <w:lang w:eastAsia="ru-RU"/>
        </w:rPr>
        <w:t>ИТ</w:t>
      </w:r>
      <w:proofErr w:type="spellEnd"/>
      <w:r w:rsidRPr="00C77C58">
        <w:rPr>
          <w:rFonts w:eastAsia="Times New Roman"/>
          <w:lang w:eastAsia="ru-RU"/>
        </w:rPr>
        <w:t>-организаций).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Устранение противоречия методологического характера в правилах определения цены сделки с обращающимися ценными бумагами для цели налогообложения прибыли.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>Уточнение перечня внереализационных доходов для налога на прибыль организаций с учетом новых оснований вычета по акцизам.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Исключение допустимой в настоящее время экономически немотивированной трактовки по </w:t>
      </w:r>
      <w:proofErr w:type="spellStart"/>
      <w:r w:rsidRPr="00C77C58">
        <w:rPr>
          <w:rFonts w:eastAsia="Times New Roman"/>
          <w:lang w:eastAsia="ru-RU"/>
        </w:rPr>
        <w:t>невключению</w:t>
      </w:r>
      <w:proofErr w:type="spellEnd"/>
      <w:r w:rsidRPr="00C77C58">
        <w:rPr>
          <w:rFonts w:eastAsia="Times New Roman"/>
          <w:lang w:eastAsia="ru-RU"/>
        </w:rPr>
        <w:t xml:space="preserve"> в налоговую базу по налогу на прибыль организаций доходов ипотечных агентов, специализированных обществ от осуществляемой ими в соответствии с уставом текущей деятельности.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Уточнение отдельных положений, направленных на исключение возможности искусственного завышения доли </w:t>
      </w:r>
      <w:proofErr w:type="spellStart"/>
      <w:r w:rsidRPr="00C77C58">
        <w:rPr>
          <w:rFonts w:eastAsia="Times New Roman"/>
          <w:lang w:eastAsia="ru-RU"/>
        </w:rPr>
        <w:t>льготируемых</w:t>
      </w:r>
      <w:proofErr w:type="spellEnd"/>
      <w:r w:rsidRPr="00C77C58">
        <w:rPr>
          <w:rFonts w:eastAsia="Times New Roman"/>
          <w:lang w:eastAsia="ru-RU"/>
        </w:rPr>
        <w:t xml:space="preserve"> доходов за счет операций с взаимозависимыми лицами и возможности применения льгот организациями, не сдавшими годовую бухгалтерскую отчетность.</w:t>
      </w:r>
    </w:p>
    <w:p w:rsidR="00A2135F" w:rsidRPr="00C77C5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ind w:left="0" w:firstLine="709"/>
        <w:rPr>
          <w:rFonts w:eastAsia="Times New Roman"/>
          <w:lang w:eastAsia="ru-RU"/>
        </w:rPr>
      </w:pPr>
      <w:proofErr w:type="gramStart"/>
      <w:r w:rsidRPr="00C77C58">
        <w:rPr>
          <w:rFonts w:eastAsia="Times New Roman"/>
          <w:lang w:eastAsia="ru-RU"/>
        </w:rPr>
        <w:t>Синхронизация действующих положений законодательства Российской Федерации о налогах и сборах, связанных с формированием налоговой базы по налогу на прибыль организаций, с вступающими в силу</w:t>
      </w:r>
      <w:r w:rsidRPr="00C77C58">
        <w:rPr>
          <w:rFonts w:eastAsia="Times New Roman"/>
          <w:lang w:eastAsia="ru-RU"/>
        </w:rPr>
        <w:br/>
        <w:t>с 1 января 2027 года изменениями отраслевого законодательства, определенными Федеральным законом от 26 декабря 2024 года № 477-ФЗ «О гарантировании прав по договорам страхования жизни».</w:t>
      </w:r>
      <w:proofErr w:type="gramEnd"/>
    </w:p>
    <w:p w:rsidR="00A2135F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</w:tabs>
        <w:ind w:left="0" w:firstLine="709"/>
        <w:rPr>
          <w:rFonts w:eastAsia="Times New Roman"/>
          <w:lang w:eastAsia="ru-RU"/>
        </w:rPr>
      </w:pPr>
      <w:r w:rsidRPr="00C77C58">
        <w:rPr>
          <w:rFonts w:eastAsia="Times New Roman"/>
          <w:lang w:eastAsia="ru-RU"/>
        </w:rPr>
        <w:t xml:space="preserve">Установление в отношении доходов в виде дивидендов, перечисляемых на счет типа «С», определенный Указом Президента Российской Федерации от 5 марта 2022 года № 95 «О временном порядке исполнения </w:t>
      </w:r>
      <w:r w:rsidR="00FD6D60" w:rsidRPr="00FD6D60">
        <w:rPr>
          <w:rFonts w:eastAsia="Times New Roman"/>
          <w:lang w:eastAsia="ru-RU"/>
        </w:rPr>
        <w:br/>
      </w:r>
      <w:r w:rsidR="00FD6D60" w:rsidRPr="00FD6D60">
        <w:rPr>
          <w:rFonts w:eastAsia="Times New Roman"/>
          <w:lang w:eastAsia="ru-RU"/>
        </w:rPr>
        <w:br/>
      </w:r>
      <w:r w:rsidRPr="00C77C58">
        <w:rPr>
          <w:rFonts w:eastAsia="Times New Roman"/>
          <w:lang w:eastAsia="ru-RU"/>
        </w:rPr>
        <w:lastRenderedPageBreak/>
        <w:t>обязательств перед некоторыми иностранными кредиторами» ставки налога на прибыль организаций в размере 35 процентов.</w:t>
      </w:r>
    </w:p>
    <w:p w:rsidR="00A2135F" w:rsidRPr="00AF71A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spacing w:line="276" w:lineRule="auto"/>
        <w:ind w:left="0" w:firstLine="709"/>
        <w:rPr>
          <w:rFonts w:eastAsia="Times New Roman"/>
          <w:lang w:eastAsia="ru-RU"/>
        </w:rPr>
      </w:pPr>
      <w:r w:rsidRPr="00237D4C">
        <w:rPr>
          <w:bCs/>
        </w:rPr>
        <w:t>Изменение порядка налогообложения доходов от доверительного управления имуществом закрытых и интервальных паевых инвестиционных фондов</w:t>
      </w:r>
      <w:r w:rsidRPr="00AF71A8">
        <w:t>.</w:t>
      </w:r>
    </w:p>
    <w:p w:rsidR="00A2135F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spacing w:line="276" w:lineRule="auto"/>
        <w:ind w:left="0" w:firstLine="709"/>
        <w:rPr>
          <w:rFonts w:eastAsia="Times New Roman"/>
          <w:lang w:eastAsia="ru-RU"/>
        </w:rPr>
      </w:pPr>
      <w:r w:rsidRPr="00AF71A8">
        <w:rPr>
          <w:rFonts w:eastAsia="Times New Roman"/>
          <w:lang w:eastAsia="ru-RU"/>
        </w:rPr>
        <w:t>Расширение перечня расходов, учитываемых при расч</w:t>
      </w:r>
      <w:r>
        <w:rPr>
          <w:rFonts w:eastAsia="Times New Roman"/>
          <w:lang w:eastAsia="ru-RU"/>
        </w:rPr>
        <w:t>е</w:t>
      </w:r>
      <w:r w:rsidRPr="00AF71A8">
        <w:rPr>
          <w:rFonts w:eastAsia="Times New Roman"/>
          <w:lang w:eastAsia="ru-RU"/>
        </w:rPr>
        <w:t>те налога на прибыль организаций, за сч</w:t>
      </w:r>
      <w:r>
        <w:rPr>
          <w:rFonts w:eastAsia="Times New Roman"/>
          <w:lang w:eastAsia="ru-RU"/>
        </w:rPr>
        <w:t>е</w:t>
      </w:r>
      <w:r w:rsidRPr="00AF71A8">
        <w:rPr>
          <w:rFonts w:eastAsia="Times New Roman"/>
          <w:lang w:eastAsia="ru-RU"/>
        </w:rPr>
        <w:t>т затрат на предотвращение террористических атак с применением беспилотных комплексов.</w:t>
      </w:r>
    </w:p>
    <w:p w:rsidR="00A2135F" w:rsidRPr="00AF71A8" w:rsidRDefault="00D91041" w:rsidP="00A2135F">
      <w:pPr>
        <w:pStyle w:val="ae"/>
        <w:keepNext w:val="0"/>
        <w:keepLines w:val="0"/>
        <w:numPr>
          <w:ilvl w:val="0"/>
          <w:numId w:val="12"/>
        </w:numPr>
        <w:tabs>
          <w:tab w:val="clear" w:pos="993"/>
          <w:tab w:val="left" w:pos="1134"/>
          <w:tab w:val="center" w:pos="4677"/>
          <w:tab w:val="right" w:pos="9355"/>
        </w:tabs>
        <w:spacing w:line="276" w:lineRule="auto"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Устанавливается, что налог на сверхдоходы не будет учитываться при исчислении налога на прибыль организаций.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государственной пошлины</w:t>
      </w:r>
    </w:p>
    <w:p w:rsidR="00A2135F" w:rsidRPr="00C77C58" w:rsidRDefault="00D91041" w:rsidP="00A2135F">
      <w:pPr>
        <w:pStyle w:val="ae"/>
        <w:keepNext w:val="0"/>
        <w:keepLines w:val="0"/>
        <w:tabs>
          <w:tab w:val="clear" w:pos="993"/>
        </w:tabs>
      </w:pPr>
      <w:r w:rsidRPr="00C77C58">
        <w:t xml:space="preserve">Уточнение отдельных положений по уплате государственной пошлины, в частности: </w:t>
      </w:r>
    </w:p>
    <w:p w:rsidR="00A2135F" w:rsidRPr="00C77C58" w:rsidRDefault="00D91041" w:rsidP="00A2135F">
      <w:pPr>
        <w:spacing w:line="240" w:lineRule="auto"/>
        <w:ind w:firstLine="709"/>
        <w:contextualSpacing/>
        <w:rPr>
          <w:rFonts w:ascii="Times New Roman" w:eastAsia="Calibri" w:hAnsi="Times New Roman"/>
          <w:szCs w:val="28"/>
        </w:rPr>
      </w:pPr>
      <w:r w:rsidRPr="00C77C58">
        <w:rPr>
          <w:rFonts w:ascii="Times New Roman" w:eastAsia="Calibri" w:hAnsi="Times New Roman"/>
          <w:szCs w:val="28"/>
        </w:rPr>
        <w:t xml:space="preserve">1) сроков уплаты государственной пошлины при увеличении исковых требований; </w:t>
      </w:r>
    </w:p>
    <w:p w:rsidR="00A2135F" w:rsidRPr="00C77C58" w:rsidRDefault="00D91041" w:rsidP="00A2135F">
      <w:pPr>
        <w:spacing w:line="240" w:lineRule="auto"/>
        <w:ind w:firstLine="709"/>
        <w:contextualSpacing/>
        <w:rPr>
          <w:rFonts w:ascii="Times New Roman" w:eastAsia="Calibri" w:hAnsi="Times New Roman"/>
          <w:szCs w:val="28"/>
        </w:rPr>
      </w:pPr>
      <w:r w:rsidRPr="00C77C58">
        <w:rPr>
          <w:rFonts w:ascii="Times New Roman" w:eastAsia="Calibri" w:hAnsi="Times New Roman"/>
          <w:szCs w:val="28"/>
        </w:rPr>
        <w:t xml:space="preserve">2) порядка освобождения государственных органов от уплаты государственной пошлины; </w:t>
      </w:r>
    </w:p>
    <w:p w:rsidR="00A2135F" w:rsidRPr="00C77C58" w:rsidRDefault="00D91041" w:rsidP="00A2135F">
      <w:pPr>
        <w:tabs>
          <w:tab w:val="left" w:pos="1134"/>
        </w:tabs>
        <w:spacing w:line="240" w:lineRule="auto"/>
        <w:ind w:firstLine="709"/>
        <w:contextualSpacing/>
        <w:rPr>
          <w:rFonts w:ascii="Times New Roman" w:eastAsia="Calibri" w:hAnsi="Times New Roman"/>
          <w:szCs w:val="28"/>
        </w:rPr>
      </w:pPr>
      <w:r w:rsidRPr="00C77C58">
        <w:rPr>
          <w:rFonts w:ascii="Times New Roman" w:eastAsia="Calibri" w:hAnsi="Times New Roman"/>
          <w:szCs w:val="28"/>
        </w:rPr>
        <w:t>3) размеров государственной пошлины при лицензировании отдельных видов деятельности, при переходе права собственности на объекты недвижимости в процессе реорганизации юридических лиц.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Налог на добычу полезных ископаемых</w:t>
      </w:r>
    </w:p>
    <w:p w:rsidR="00A2135F" w:rsidRPr="00C77C58" w:rsidRDefault="00D91041" w:rsidP="00A2135F">
      <w:pPr>
        <w:pStyle w:val="ab"/>
        <w:numPr>
          <w:ilvl w:val="0"/>
          <w:numId w:val="6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В целях покрытия недостающего бюджетного финансирования для завершения строительства гидротехнических сооружений, береговых объектов и газопроводов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регазификационного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комплекса сжиженного природного газа (далее –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СПГ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) в Камчатском крае, а также развития и обеспечения стабильной </w:t>
      </w: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работы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российских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СПГ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-проектов из условий применения «нулевой» налоговой ставки по налогу на добычу полезных ископаемых (далее –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НДПИ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>) исключается ограничение о накопленном объеме добы</w:t>
      </w:r>
      <w:r w:rsidR="00FD6D60">
        <w:rPr>
          <w:rFonts w:ascii="Times New Roman" w:eastAsia="Calibri" w:hAnsi="Times New Roman" w:cs="Times New Roman"/>
          <w:sz w:val="28"/>
          <w:szCs w:val="28"/>
        </w:rPr>
        <w:t>чи газа горючего природного 250</w:t>
      </w:r>
      <w:r w:rsidR="00FD6D6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миллиардов кубических метров с сохранением возможности применения указанной налоговой ставки по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НДПИ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на срок не более 12 лет (до 2029 года включительно) при условии заключения инвестиционного соглашения по целевому использованию не уплаченных в федеральный бюджет денежных сре</w:t>
      </w: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дств</w:t>
      </w:r>
      <w:r w:rsidRPr="00C77C58">
        <w:rPr>
          <w:rFonts w:ascii="Times New Roman" w:hAnsi="Times New Roman" w:cs="Times New Roman"/>
          <w:sz w:val="28"/>
          <w:szCs w:val="28"/>
        </w:rPr>
        <w:t xml:space="preserve"> </w:t>
      </w:r>
      <w:r w:rsidRPr="00C77C58">
        <w:rPr>
          <w:rFonts w:ascii="Times New Roman" w:eastAsia="Calibri" w:hAnsi="Times New Roman" w:cs="Times New Roman"/>
          <w:sz w:val="28"/>
          <w:szCs w:val="28"/>
        </w:rPr>
        <w:t>в св</w:t>
      </w:r>
      <w:proofErr w:type="gram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язи с сохранением возможности применения «нулевой» ставки по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НДПИ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135F" w:rsidRPr="00C77C58" w:rsidRDefault="00D91041" w:rsidP="00A2135F">
      <w:pPr>
        <w:pStyle w:val="ab"/>
        <w:numPr>
          <w:ilvl w:val="0"/>
          <w:numId w:val="6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В целях неприменения льготы по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НДПИ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организацией, ранее имевшей статус участника регионального инвестиционного проекта (и прекратившей такой статус в установленном порядке) или участника особой экономической зоны любого типа, уточняется порядок применения коэффициента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Ктд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резидентами территории опережающего развития.</w:t>
      </w:r>
    </w:p>
    <w:p w:rsidR="00A2135F" w:rsidRPr="00C77C58" w:rsidRDefault="00D91041" w:rsidP="00A2135F">
      <w:pPr>
        <w:pStyle w:val="ab"/>
        <w:numPr>
          <w:ilvl w:val="0"/>
          <w:numId w:val="6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В целях неприменения льготы по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НДПИ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организацией, ранее имевшей статус резидента территории опережающего развития или участника особой экономической зоны любого типа, уточняется порядок применения </w:t>
      </w:r>
      <w:r w:rsidRPr="00C77C5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коэффициента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Ктд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участником регионального инвестиционного проекта, для которого не требуется включение в реестр участников региональных инвестиционных проектов.</w:t>
      </w:r>
    </w:p>
    <w:p w:rsidR="00A2135F" w:rsidRPr="00570423" w:rsidRDefault="00D91041" w:rsidP="00A2135F">
      <w:pPr>
        <w:pStyle w:val="ab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C77C58">
        <w:rPr>
          <w:rFonts w:ascii="Times New Roman" w:hAnsi="Times New Roman" w:cs="Times New Roman"/>
          <w:sz w:val="28"/>
          <w:szCs w:val="28"/>
        </w:rPr>
        <w:t xml:space="preserve"> целях исключения неоднозначного толкования абзаца пятого </w:t>
      </w:r>
      <w:r w:rsidRPr="00C77C58">
        <w:rPr>
          <w:rFonts w:ascii="Times New Roman" w:hAnsi="Times New Roman" w:cs="Times New Roman"/>
          <w:sz w:val="28"/>
          <w:szCs w:val="28"/>
        </w:rPr>
        <w:br/>
        <w:t xml:space="preserve">пункта 19 статьи 343 Кодекса и обеспечения </w:t>
      </w:r>
      <w:proofErr w:type="gramStart"/>
      <w:r w:rsidRPr="00C77C58">
        <w:rPr>
          <w:rFonts w:ascii="Times New Roman" w:hAnsi="Times New Roman" w:cs="Times New Roman"/>
          <w:sz w:val="28"/>
          <w:szCs w:val="28"/>
        </w:rPr>
        <w:t>полноты учета объема реализации газа</w:t>
      </w:r>
      <w:proofErr w:type="gramEnd"/>
      <w:r w:rsidRPr="00C77C58">
        <w:rPr>
          <w:rFonts w:ascii="Times New Roman" w:hAnsi="Times New Roman" w:cs="Times New Roman"/>
          <w:sz w:val="28"/>
          <w:szCs w:val="28"/>
        </w:rPr>
        <w:t xml:space="preserve"> уточняется порядок определения показателя </w:t>
      </w:r>
      <w:r w:rsidRPr="00C77C5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C77C58">
        <w:rPr>
          <w:rFonts w:ascii="Times New Roman" w:hAnsi="Times New Roman" w:cs="Times New Roman"/>
          <w:sz w:val="28"/>
          <w:szCs w:val="28"/>
        </w:rPr>
        <w:t xml:space="preserve">нас (который используется для определения показателя </w:t>
      </w:r>
      <w:proofErr w:type="spellStart"/>
      <w:r w:rsidRPr="00C77C58">
        <w:rPr>
          <w:rFonts w:ascii="Times New Roman" w:hAnsi="Times New Roman" w:cs="Times New Roman"/>
          <w:sz w:val="28"/>
          <w:szCs w:val="28"/>
        </w:rPr>
        <w:t>Ккг2024</w:t>
      </w:r>
      <w:proofErr w:type="spellEnd"/>
      <w:r w:rsidRPr="00C77C58">
        <w:rPr>
          <w:rFonts w:ascii="Times New Roman" w:hAnsi="Times New Roman" w:cs="Times New Roman"/>
          <w:sz w:val="28"/>
          <w:szCs w:val="28"/>
        </w:rPr>
        <w:t xml:space="preserve">), предусматривающий учет объемов </w:t>
      </w:r>
      <w:r w:rsidRPr="00570423">
        <w:rPr>
          <w:rFonts w:ascii="Times New Roman" w:hAnsi="Times New Roman" w:cs="Times New Roman"/>
          <w:sz w:val="28"/>
          <w:szCs w:val="28"/>
        </w:rPr>
        <w:t>реализации газа населению в случае отсутствия у налогоплательщика прямой реализации газа населению.</w:t>
      </w:r>
    </w:p>
    <w:p w:rsidR="00A2135F" w:rsidRPr="00476DC1" w:rsidRDefault="00D91041" w:rsidP="00A2135F">
      <w:pPr>
        <w:pStyle w:val="ab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Pr="00215303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>четыре</w:t>
      </w:r>
      <w:r w:rsidRPr="00215303">
        <w:rPr>
          <w:rFonts w:ascii="Times New Roman" w:hAnsi="Times New Roman" w:cs="Times New Roman"/>
          <w:sz w:val="30"/>
          <w:szCs w:val="30"/>
        </w:rPr>
        <w:t xml:space="preserve"> года продлевается вычет, предусмотренный</w:t>
      </w:r>
      <w:r>
        <w:rPr>
          <w:rFonts w:ascii="Times New Roman" w:hAnsi="Times New Roman" w:cs="Times New Roman"/>
          <w:sz w:val="30"/>
          <w:szCs w:val="30"/>
        </w:rPr>
        <w:t xml:space="preserve"> абзацем вторым</w:t>
      </w:r>
      <w:r w:rsidRPr="00215303">
        <w:rPr>
          <w:rFonts w:ascii="Times New Roman" w:hAnsi="Times New Roman" w:cs="Times New Roman"/>
          <w:sz w:val="30"/>
          <w:szCs w:val="30"/>
        </w:rPr>
        <w:t xml:space="preserve"> пункт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215303">
        <w:rPr>
          <w:rFonts w:ascii="Times New Roman" w:hAnsi="Times New Roman" w:cs="Times New Roman"/>
          <w:sz w:val="30"/>
          <w:szCs w:val="30"/>
        </w:rPr>
        <w:t xml:space="preserve"> 3.1 статьи 343.2 Налогового кодекса Российской Федерации</w:t>
      </w:r>
      <w:r w:rsidRPr="00570423">
        <w:rPr>
          <w:rFonts w:ascii="Times New Roman" w:hAnsi="Times New Roman" w:cs="Times New Roman"/>
          <w:sz w:val="30"/>
          <w:szCs w:val="30"/>
        </w:rPr>
        <w:t>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специальных налоговых режимов</w:t>
      </w:r>
    </w:p>
    <w:p w:rsidR="00A2135F" w:rsidRPr="00C77C58" w:rsidRDefault="00D91041" w:rsidP="00A2135F">
      <w:pPr>
        <w:pStyle w:val="ab"/>
        <w:numPr>
          <w:ilvl w:val="0"/>
          <w:numId w:val="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eastAsia="Calibri" w:hAnsi="Times New Roman" w:cs="Times New Roman"/>
          <w:sz w:val="28"/>
          <w:szCs w:val="28"/>
        </w:rPr>
        <w:t>Исключение у индивидуального предпринимателя из состава доходов, учитываемых при определении объекта налогообложения по налогу, уплачиваемому в связи с применением единого сельскохозяйственного налога, упрощенной системы налогообложения и автоматизированной упрощенной системы налогообложения, доходов в виде процентов, полученных по вкладам (остаткам на счетах) в банках, находящихся на территории Российской Федерации, облагаемых налогом на доходы физических лиц.</w:t>
      </w:r>
      <w:proofErr w:type="gramEnd"/>
    </w:p>
    <w:p w:rsidR="00A2135F" w:rsidRPr="00C77C58" w:rsidRDefault="00D91041" w:rsidP="00A2135F">
      <w:pPr>
        <w:pStyle w:val="ab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Продление срока меры поддержки в части сохранения статуса сельскохозяйственного товаропроизводителя по итогам 2023 года для организаций и индивидуальных предпринимателей, которые пострадали в результате действий вооруженных формирований и (или) террористических актов и (или) осуществление хозяйственной деятельности которых невозможно в результате действий вооруженных формирований и (или) террористических актов, до 2029 года.</w:t>
      </w:r>
    </w:p>
    <w:p w:rsidR="00A2135F" w:rsidRPr="00C77C58" w:rsidRDefault="00D91041" w:rsidP="00A2135F">
      <w:pPr>
        <w:pStyle w:val="ab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Установление, начиная с 2028 года, механизма уменьшения налоговыми органами суммы налога, исчисленного при применении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ПСН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>, на суммы страховых взносов в автоматическом режиме.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имущественных налогов</w:t>
      </w:r>
    </w:p>
    <w:p w:rsidR="00A2135F" w:rsidRPr="00C77C58" w:rsidRDefault="00D91041" w:rsidP="00A2135F">
      <w:pPr>
        <w:pStyle w:val="ab"/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Установление единых требований к содержанию нормативных правовых актов о налоговых льготах в целях совершенствования условий предоставления налоговых льгот в </w:t>
      </w:r>
      <w:proofErr w:type="spellStart"/>
      <w:r w:rsidRPr="00C77C58">
        <w:rPr>
          <w:rFonts w:ascii="Times New Roman" w:eastAsia="Calibri" w:hAnsi="Times New Roman" w:cs="Times New Roman"/>
          <w:sz w:val="28"/>
          <w:szCs w:val="28"/>
        </w:rPr>
        <w:t>беззаявительном</w:t>
      </w:r>
      <w:proofErr w:type="spellEnd"/>
      <w:r w:rsidRPr="00C77C58">
        <w:rPr>
          <w:rFonts w:ascii="Times New Roman" w:eastAsia="Calibri" w:hAnsi="Times New Roman" w:cs="Times New Roman"/>
          <w:sz w:val="28"/>
          <w:szCs w:val="28"/>
        </w:rPr>
        <w:t xml:space="preserve"> порядке.</w:t>
      </w:r>
    </w:p>
    <w:p w:rsidR="00A2135F" w:rsidRPr="00C77C58" w:rsidRDefault="00D91041" w:rsidP="00A2135F">
      <w:pPr>
        <w:pStyle w:val="ab"/>
        <w:numPr>
          <w:ilvl w:val="0"/>
          <w:numId w:val="8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Информирование физических лиц о возможности получения преимуществ по налогам с использованием сервисов электронных цифровых коммуникаций, включая личный кабинет налогоплательщика и единый портал государственных и муниципальных услуг.</w:t>
      </w:r>
    </w:p>
    <w:p w:rsidR="00A2135F" w:rsidRPr="00C77C58" w:rsidRDefault="00D91041" w:rsidP="00A2135F">
      <w:pPr>
        <w:pStyle w:val="ab"/>
        <w:numPr>
          <w:ilvl w:val="0"/>
          <w:numId w:val="8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Распространение установленных льгот по имущественным налогам для членов семей участников специальной военной операции на родителей (усыновителей) участников специальной военной операции независимо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>от факта иждивения (начиная с налогового периода 2022 года).</w:t>
      </w:r>
    </w:p>
    <w:p w:rsidR="00A2135F" w:rsidRPr="00C77C58" w:rsidRDefault="00D91041" w:rsidP="00A2135F">
      <w:pPr>
        <w:pStyle w:val="ab"/>
        <w:numPr>
          <w:ilvl w:val="0"/>
          <w:numId w:val="8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lastRenderedPageBreak/>
        <w:t>Уточнение условий применения понижающего коэффициента 1,1</w:t>
      </w:r>
      <w:r w:rsidRPr="00C77C58">
        <w:rPr>
          <w:rFonts w:ascii="Times New Roman" w:eastAsia="Calibri" w:hAnsi="Times New Roman" w:cs="Times New Roman"/>
          <w:sz w:val="28"/>
          <w:szCs w:val="28"/>
        </w:rPr>
        <w:br/>
        <w:t>по земельному налогу и налогу на имущество физических лиц.</w:t>
      </w:r>
    </w:p>
    <w:p w:rsidR="00A2135F" w:rsidRPr="00C77C58" w:rsidRDefault="00D91041" w:rsidP="00A2135F">
      <w:pPr>
        <w:pStyle w:val="ab"/>
        <w:numPr>
          <w:ilvl w:val="0"/>
          <w:numId w:val="8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Расширение в рамках налога на имущество организаций перечня объектов, облагаемых по кадастровой стоимости, за счет включения в него пунктов приема и выдачи заказов, являющихся объектами логистической инфраструктуры оператора посреднической цифровой платформы.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туристического налога</w:t>
      </w:r>
    </w:p>
    <w:p w:rsidR="00A2135F" w:rsidRPr="00C77C58" w:rsidRDefault="00D91041" w:rsidP="00A2135F">
      <w:pPr>
        <w:pStyle w:val="ab"/>
        <w:numPr>
          <w:ilvl w:val="0"/>
          <w:numId w:val="9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Уточнение порядка определения налоговой базы и исчисления суммы туристического налога по фактически оказанным услугам за налоговый период, вне зависимости от факта оплаты таких услуг.</w:t>
      </w:r>
    </w:p>
    <w:p w:rsidR="00A2135F" w:rsidRDefault="00D91041" w:rsidP="00A2135F">
      <w:pPr>
        <w:pStyle w:val="ab"/>
        <w:numPr>
          <w:ilvl w:val="0"/>
          <w:numId w:val="9"/>
        </w:numPr>
        <w:tabs>
          <w:tab w:val="left" w:pos="0"/>
          <w:tab w:val="left" w:pos="709"/>
          <w:tab w:val="left" w:pos="993"/>
          <w:tab w:val="left" w:pos="193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7C58">
        <w:rPr>
          <w:rFonts w:ascii="Times New Roman" w:eastAsia="Calibri" w:hAnsi="Times New Roman" w:cs="Times New Roman"/>
          <w:sz w:val="28"/>
          <w:szCs w:val="28"/>
        </w:rPr>
        <w:t>Предоставление представительным органам муниципальных образований права дифференцировать (снижать до нуля) установленный Налоговым кодексом Российской Федерации размер минимального налога.</w:t>
      </w:r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>В части страховых взносов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 xml:space="preserve">Уточнение в части установления возможности выбора работодателем периода выплаты необлагаемой страховыми взносами суммы единовременной материальной помощи в размере не более 1 </w:t>
      </w:r>
      <w:proofErr w:type="gramStart"/>
      <w:r w:rsidRPr="00C77C58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C77C58">
        <w:rPr>
          <w:rFonts w:ascii="Times New Roman" w:hAnsi="Times New Roman" w:cs="Times New Roman"/>
          <w:bCs/>
          <w:sz w:val="28"/>
          <w:szCs w:val="28"/>
        </w:rPr>
        <w:t xml:space="preserve"> рублей, оказываемой работодателем работнику при рождении ребенка, - в период отпуска работника по беременности и родам до рождения ребенка либо в течение первого года после его рождения.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77C58">
        <w:rPr>
          <w:rFonts w:ascii="Times New Roman" w:hAnsi="Times New Roman" w:cs="Times New Roman"/>
          <w:bCs/>
          <w:sz w:val="28"/>
          <w:szCs w:val="28"/>
        </w:rPr>
        <w:t>Расширение перечня не подлежащих обложению страховыми взносами выплат на суммы выплат в денежной и (или) натуральной формах, производимые работодателями своим работникам в порядке оказания им социальной поддержки (помощи) в соответствии с законодательными актами Российской Федерации, актами Президента Российской Федерации, актами Правительства Российской Федерации, законами и (или) иными актами органов государственной власти субъектов Российской Федерации.</w:t>
      </w:r>
      <w:proofErr w:type="gramEnd"/>
      <w:r w:rsidRPr="00C77C58">
        <w:rPr>
          <w:rFonts w:ascii="Times New Roman" w:hAnsi="Times New Roman" w:cs="Times New Roman"/>
          <w:bCs/>
          <w:sz w:val="28"/>
          <w:szCs w:val="28"/>
        </w:rPr>
        <w:t xml:space="preserve"> Аналогичные выплаты также не облагаются </w:t>
      </w:r>
      <w:proofErr w:type="spellStart"/>
      <w:r w:rsidRPr="00C77C58">
        <w:rPr>
          <w:rFonts w:ascii="Times New Roman" w:hAnsi="Times New Roman" w:cs="Times New Roman"/>
          <w:bCs/>
          <w:sz w:val="28"/>
          <w:szCs w:val="28"/>
        </w:rPr>
        <w:t>НДФЛ</w:t>
      </w:r>
      <w:proofErr w:type="spellEnd"/>
      <w:r w:rsidRPr="00C77C58">
        <w:rPr>
          <w:rFonts w:ascii="Times New Roman" w:hAnsi="Times New Roman" w:cs="Times New Roman"/>
          <w:bCs/>
          <w:sz w:val="28"/>
          <w:szCs w:val="28"/>
        </w:rPr>
        <w:t>.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 xml:space="preserve">Расширение перечня доходов, включаемых </w:t>
      </w:r>
      <w:proofErr w:type="spellStart"/>
      <w:r w:rsidRPr="00C77C58">
        <w:rPr>
          <w:rFonts w:ascii="Times New Roman" w:hAnsi="Times New Roman" w:cs="Times New Roman"/>
          <w:bCs/>
          <w:sz w:val="28"/>
          <w:szCs w:val="28"/>
        </w:rPr>
        <w:t>ИТ</w:t>
      </w:r>
      <w:proofErr w:type="spellEnd"/>
      <w:r w:rsidRPr="00C77C58">
        <w:rPr>
          <w:rFonts w:ascii="Times New Roman" w:hAnsi="Times New Roman" w:cs="Times New Roman"/>
          <w:bCs/>
          <w:sz w:val="28"/>
          <w:szCs w:val="28"/>
        </w:rPr>
        <w:t>-организацией в долю «профильных» доходов для целей применения пониженных тарифов страховых взносов, путем включения в него доходов от предоставления прав использования, заключающихся в предоставлении доступа к электронным книгам (изданиям) и другим электронным публикациям, графическим изображениям.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Уточнение условий применения </w:t>
      </w:r>
      <w:proofErr w:type="spellStart"/>
      <w:r w:rsidRPr="00C77C58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proofErr w:type="spellEnd"/>
      <w:r w:rsidRPr="00C77C58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-организациями пониженных тарифов страховых взносов в части исключения возможности искусственного завышения доли «профильных» доходов за счет операций с взаимозависимыми лицами, а также в части невозможности применения такой меры государственной поддержки организациями, не сдавшими годовую бухгалтерскую отчетность.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 xml:space="preserve">В целях повышения эффективности администрирования страховых взносов установление для плательщиков страховых взносов - организаций, отнесенных к категории крупнейших налогоплательщиков, и их обособленных </w:t>
      </w:r>
      <w:r w:rsidRPr="00C77C58">
        <w:rPr>
          <w:rFonts w:ascii="Times New Roman" w:hAnsi="Times New Roman" w:cs="Times New Roman"/>
          <w:bCs/>
          <w:sz w:val="28"/>
          <w:szCs w:val="28"/>
        </w:rPr>
        <w:lastRenderedPageBreak/>
        <w:t>подразделений обязанности представления отчетности по страховым взносам в налоговый орган по месту учета организации в качестве крупнейшего налогоплательщика.</w:t>
      </w:r>
    </w:p>
    <w:p w:rsidR="00A2135F" w:rsidRPr="00C77C58" w:rsidRDefault="00D91041" w:rsidP="00A2135F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7C58">
        <w:rPr>
          <w:rFonts w:ascii="Times New Roman" w:hAnsi="Times New Roman" w:cs="Times New Roman"/>
          <w:sz w:val="28"/>
          <w:szCs w:val="28"/>
        </w:rPr>
        <w:t xml:space="preserve">Передача от органов Социального фонда России налоговым органам полномочий по администрированию страховых взносов на обязательное социальное страхование от несчастных случаев на производстве и профессиональных заболеваний (далее - </w:t>
      </w:r>
      <w:proofErr w:type="spellStart"/>
      <w:r w:rsidRPr="00C77C58">
        <w:rPr>
          <w:rFonts w:ascii="Times New Roman" w:hAnsi="Times New Roman" w:cs="Times New Roman"/>
          <w:sz w:val="28"/>
          <w:szCs w:val="28"/>
        </w:rPr>
        <w:t>ОСС</w:t>
      </w:r>
      <w:proofErr w:type="spellEnd"/>
      <w:r w:rsidRPr="00C77C58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C77C58">
        <w:rPr>
          <w:rFonts w:ascii="Times New Roman" w:hAnsi="Times New Roman" w:cs="Times New Roman"/>
          <w:sz w:val="28"/>
          <w:szCs w:val="28"/>
        </w:rPr>
        <w:t>НСиПЗ</w:t>
      </w:r>
      <w:proofErr w:type="spellEnd"/>
      <w:r w:rsidRPr="00C77C58">
        <w:rPr>
          <w:rFonts w:ascii="Times New Roman" w:hAnsi="Times New Roman" w:cs="Times New Roman"/>
          <w:sz w:val="28"/>
          <w:szCs w:val="28"/>
        </w:rPr>
        <w:t>) в целях унификации порядка администрирования страховых взносов по всем видам обязательного социального страхования, в том числе установления «единого окна» по их уплате, а также для оптимизации административных расходов бюджетов бюджетной системы</w:t>
      </w:r>
      <w:proofErr w:type="gramEnd"/>
      <w:r w:rsidRPr="00C77C58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A2135F" w:rsidRPr="00C77C58" w:rsidRDefault="00D91041" w:rsidP="00A2135F">
      <w:pPr>
        <w:tabs>
          <w:tab w:val="left" w:pos="993"/>
        </w:tabs>
        <w:spacing w:line="240" w:lineRule="auto"/>
        <w:ind w:firstLine="709"/>
        <w:rPr>
          <w:rFonts w:ascii="Times New Roman" w:hAnsi="Times New Roman"/>
          <w:szCs w:val="28"/>
        </w:rPr>
      </w:pPr>
      <w:r w:rsidRPr="00C77C58">
        <w:rPr>
          <w:rFonts w:ascii="Times New Roman" w:hAnsi="Times New Roman"/>
          <w:szCs w:val="28"/>
        </w:rPr>
        <w:t xml:space="preserve">При этом параметры страховых взносов на </w:t>
      </w:r>
      <w:proofErr w:type="spellStart"/>
      <w:r w:rsidRPr="00C77C58">
        <w:rPr>
          <w:rFonts w:ascii="Times New Roman" w:hAnsi="Times New Roman"/>
          <w:szCs w:val="28"/>
        </w:rPr>
        <w:t>ОСС</w:t>
      </w:r>
      <w:proofErr w:type="spellEnd"/>
      <w:r w:rsidRPr="00C77C58">
        <w:rPr>
          <w:rFonts w:ascii="Times New Roman" w:hAnsi="Times New Roman"/>
          <w:szCs w:val="28"/>
        </w:rPr>
        <w:t xml:space="preserve"> от </w:t>
      </w:r>
      <w:proofErr w:type="spellStart"/>
      <w:r w:rsidRPr="00C77C58">
        <w:rPr>
          <w:rFonts w:ascii="Times New Roman" w:hAnsi="Times New Roman"/>
          <w:szCs w:val="28"/>
        </w:rPr>
        <w:t>НСиПЗ</w:t>
      </w:r>
      <w:proofErr w:type="spellEnd"/>
      <w:r w:rsidRPr="00C77C58">
        <w:rPr>
          <w:rFonts w:ascii="Times New Roman" w:hAnsi="Times New Roman"/>
          <w:szCs w:val="28"/>
        </w:rPr>
        <w:t xml:space="preserve">, принципы страхового обеспечения и формирования доходной части бюджета Социального фонда России не изменятся. </w:t>
      </w:r>
    </w:p>
    <w:p w:rsidR="00A2135F" w:rsidRPr="00C77C58" w:rsidRDefault="00D91041" w:rsidP="00A2135F">
      <w:pPr>
        <w:tabs>
          <w:tab w:val="left" w:pos="993"/>
        </w:tabs>
        <w:spacing w:line="240" w:lineRule="auto"/>
        <w:ind w:firstLine="709"/>
        <w:rPr>
          <w:rFonts w:ascii="Times New Roman" w:hAnsi="Times New Roman"/>
          <w:szCs w:val="28"/>
        </w:rPr>
      </w:pPr>
      <w:r w:rsidRPr="00C77C58">
        <w:rPr>
          <w:rFonts w:ascii="Times New Roman" w:hAnsi="Times New Roman"/>
          <w:szCs w:val="28"/>
        </w:rPr>
        <w:t xml:space="preserve">Исключение страховых взносов на </w:t>
      </w:r>
      <w:proofErr w:type="spellStart"/>
      <w:r w:rsidRPr="00C77C58">
        <w:rPr>
          <w:rFonts w:ascii="Times New Roman" w:hAnsi="Times New Roman"/>
          <w:szCs w:val="28"/>
        </w:rPr>
        <w:t>ОСС</w:t>
      </w:r>
      <w:proofErr w:type="spellEnd"/>
      <w:r w:rsidRPr="00C77C58">
        <w:rPr>
          <w:rFonts w:ascii="Times New Roman" w:hAnsi="Times New Roman"/>
          <w:szCs w:val="28"/>
        </w:rPr>
        <w:t xml:space="preserve"> от </w:t>
      </w:r>
      <w:proofErr w:type="spellStart"/>
      <w:r w:rsidRPr="00C77C58">
        <w:rPr>
          <w:rFonts w:ascii="Times New Roman" w:hAnsi="Times New Roman"/>
          <w:szCs w:val="28"/>
        </w:rPr>
        <w:t>НСиПЗ</w:t>
      </w:r>
      <w:proofErr w:type="spellEnd"/>
      <w:r w:rsidRPr="00C77C58">
        <w:rPr>
          <w:rFonts w:ascii="Times New Roman" w:hAnsi="Times New Roman"/>
          <w:szCs w:val="28"/>
        </w:rPr>
        <w:t xml:space="preserve"> из состава единого налогового платежа в связи с невозможностью определения размера задолженности по таким страховым взносам, который необходим Социальному фонду России для принятия отдельных решений, не требуется. Соответствующие сведения будут отражены налоговыми органами в справке о наличии по состоянию на </w:t>
      </w:r>
      <w:hyperlink r:id="rId9" w:history="1">
        <w:r w:rsidRPr="00C77C58">
          <w:rPr>
            <w:rFonts w:ascii="Times New Roman" w:hAnsi="Times New Roman"/>
            <w:szCs w:val="28"/>
          </w:rPr>
          <w:t>дату</w:t>
        </w:r>
      </w:hyperlink>
      <w:r w:rsidRPr="00C77C58">
        <w:rPr>
          <w:rFonts w:ascii="Times New Roman" w:hAnsi="Times New Roman"/>
          <w:szCs w:val="28"/>
        </w:rPr>
        <w:t xml:space="preserve"> формирования справки положительного, отрицательного или нулевого сальдо единого налогового счета плательщика страховых взносов согласно подпункту 10 статьи 32 Налогового кодекса Российской Федерации или в рамках информационного обмена.</w:t>
      </w:r>
    </w:p>
    <w:p w:rsidR="00A2135F" w:rsidRPr="00C77C58" w:rsidRDefault="00D91041" w:rsidP="00A2135F">
      <w:pPr>
        <w:tabs>
          <w:tab w:val="left" w:pos="993"/>
        </w:tabs>
        <w:spacing w:line="240" w:lineRule="auto"/>
        <w:ind w:firstLine="709"/>
        <w:rPr>
          <w:rFonts w:ascii="Times New Roman" w:hAnsi="Times New Roman"/>
          <w:szCs w:val="28"/>
        </w:rPr>
      </w:pPr>
      <w:proofErr w:type="gramStart"/>
      <w:r w:rsidRPr="00C77C58">
        <w:rPr>
          <w:rFonts w:ascii="Times New Roman" w:hAnsi="Times New Roman"/>
          <w:szCs w:val="28"/>
        </w:rPr>
        <w:t xml:space="preserve">Необходимость регулирования Налоговым кодексом Российской Федерации информационного обмена между </w:t>
      </w:r>
      <w:proofErr w:type="spellStart"/>
      <w:r w:rsidRPr="00C77C58">
        <w:rPr>
          <w:rFonts w:ascii="Times New Roman" w:hAnsi="Times New Roman"/>
          <w:szCs w:val="28"/>
        </w:rPr>
        <w:t>ФНС</w:t>
      </w:r>
      <w:proofErr w:type="spellEnd"/>
      <w:r w:rsidRPr="00C77C58">
        <w:rPr>
          <w:rFonts w:ascii="Times New Roman" w:hAnsi="Times New Roman"/>
          <w:szCs w:val="28"/>
        </w:rPr>
        <w:t xml:space="preserve"> России и Социальным фондом России отсутствует, поскольку такой обмен между органами Социального фонда России и налоговыми органами в целях исполнения возложенных на них задач будет осуществляться в рамках соглашения взаимодействующих сторон в соответствии с пунктом 3 статьи 82 Налогового кодекса Российской Федерации.</w:t>
      </w:r>
      <w:proofErr w:type="gramEnd"/>
    </w:p>
    <w:p w:rsidR="00A2135F" w:rsidRPr="00C77C58" w:rsidRDefault="00D91041" w:rsidP="00A2135F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77C58">
        <w:rPr>
          <w:rFonts w:ascii="Times New Roman" w:eastAsia="Calibri" w:hAnsi="Times New Roman" w:cs="Times New Roman"/>
          <w:b/>
          <w:sz w:val="28"/>
          <w:szCs w:val="28"/>
        </w:rPr>
        <w:t xml:space="preserve">В части трансфертного ценообразования и налогообложения контролируемых иностранных компаний 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C58">
        <w:rPr>
          <w:rFonts w:ascii="Times New Roman" w:hAnsi="Times New Roman" w:cs="Times New Roman"/>
          <w:bCs/>
          <w:iCs/>
          <w:sz w:val="28"/>
          <w:szCs w:val="28"/>
        </w:rPr>
        <w:t xml:space="preserve">Установление обязанности для налогоплательщиков при представлении в </w:t>
      </w:r>
      <w:proofErr w:type="spellStart"/>
      <w:r w:rsidRPr="00C77C58">
        <w:rPr>
          <w:rFonts w:ascii="Times New Roman" w:hAnsi="Times New Roman" w:cs="Times New Roman"/>
          <w:bCs/>
          <w:iCs/>
          <w:sz w:val="28"/>
          <w:szCs w:val="28"/>
        </w:rPr>
        <w:t>ФНС</w:t>
      </w:r>
      <w:proofErr w:type="spellEnd"/>
      <w:r w:rsidRPr="00C77C58">
        <w:rPr>
          <w:rFonts w:ascii="Times New Roman" w:hAnsi="Times New Roman" w:cs="Times New Roman"/>
          <w:bCs/>
          <w:iCs/>
          <w:sz w:val="28"/>
          <w:szCs w:val="28"/>
        </w:rPr>
        <w:t xml:space="preserve"> России документов, составленных на иностранном языке, прилагать к ним нотариально заверенные переводы таких документов на русский язык.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77C58">
        <w:rPr>
          <w:rFonts w:ascii="Times New Roman" w:hAnsi="Times New Roman" w:cs="Times New Roman"/>
          <w:bCs/>
          <w:iCs/>
          <w:sz w:val="28"/>
          <w:szCs w:val="28"/>
        </w:rPr>
        <w:t xml:space="preserve">Исключение </w:t>
      </w:r>
      <w:proofErr w:type="gramStart"/>
      <w:r w:rsidRPr="00C77C58">
        <w:rPr>
          <w:rFonts w:ascii="Times New Roman" w:hAnsi="Times New Roman" w:cs="Times New Roman"/>
          <w:bCs/>
          <w:iCs/>
          <w:sz w:val="28"/>
          <w:szCs w:val="28"/>
        </w:rPr>
        <w:t>возможности продления срока проведения налоговой проверки сделок</w:t>
      </w:r>
      <w:proofErr w:type="gramEnd"/>
      <w:r w:rsidRPr="00C77C58">
        <w:rPr>
          <w:rFonts w:ascii="Times New Roman" w:hAnsi="Times New Roman" w:cs="Times New Roman"/>
          <w:bCs/>
          <w:iCs/>
          <w:sz w:val="28"/>
          <w:szCs w:val="28"/>
        </w:rPr>
        <w:t xml:space="preserve"> между взаимозависимыми лицами в случае, если</w:t>
      </w:r>
      <w:r w:rsidRPr="00C77C58">
        <w:rPr>
          <w:rFonts w:ascii="Times New Roman" w:hAnsi="Times New Roman" w:cs="Times New Roman"/>
          <w:bCs/>
          <w:iCs/>
          <w:sz w:val="28"/>
          <w:szCs w:val="28"/>
        </w:rPr>
        <w:br/>
        <w:t>к представленным налогоплательщиком документам, составленным</w:t>
      </w:r>
      <w:r w:rsidRPr="00C77C58">
        <w:rPr>
          <w:rFonts w:ascii="Times New Roman" w:hAnsi="Times New Roman" w:cs="Times New Roman"/>
          <w:bCs/>
          <w:iCs/>
          <w:sz w:val="28"/>
          <w:szCs w:val="28"/>
        </w:rPr>
        <w:br/>
        <w:t>на иностранном языке, прилагается их нотариально заверенный перевод</w:t>
      </w:r>
      <w:r w:rsidRPr="00C77C58">
        <w:rPr>
          <w:rFonts w:ascii="Times New Roman" w:hAnsi="Times New Roman" w:cs="Times New Roman"/>
          <w:bCs/>
          <w:iCs/>
          <w:sz w:val="28"/>
          <w:szCs w:val="28"/>
        </w:rPr>
        <w:br/>
        <w:t>на русский язык.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>Увеличение размера доли участия лица в иностранной организации</w:t>
      </w:r>
      <w:r w:rsidRPr="00C77C58">
        <w:rPr>
          <w:rFonts w:ascii="Times New Roman" w:hAnsi="Times New Roman" w:cs="Times New Roman"/>
          <w:bCs/>
          <w:sz w:val="28"/>
          <w:szCs w:val="28"/>
        </w:rPr>
        <w:br/>
        <w:t>(с 25 до 50 процентов) для целей признания его контролирующим лицом иностранной организации.</w:t>
      </w:r>
    </w:p>
    <w:p w:rsidR="00A2135F" w:rsidRPr="00C77C58" w:rsidRDefault="00D91041" w:rsidP="00A2135F">
      <w:pPr>
        <w:tabs>
          <w:tab w:val="left" w:pos="568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/>
          <w:bCs/>
          <w:szCs w:val="28"/>
        </w:rPr>
      </w:pPr>
      <w:r w:rsidRPr="00C77C58">
        <w:rPr>
          <w:rFonts w:ascii="Times New Roman" w:hAnsi="Times New Roman"/>
          <w:bCs/>
          <w:szCs w:val="28"/>
        </w:rPr>
        <w:lastRenderedPageBreak/>
        <w:t>Изменение позволит сконцентрировать внимание налоговых органов на случаях, связанных с реальной возможностью контроля, и снизит объем предоставляемой отчетности для миноритарных участников. При этом сохраняется обязанность по уведомлению об участии в иностранных организациях при доле участия, превышающей 10 процентов.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>Исключение суммового порога, при превышении которого прибыль контролируемой иностранной компании облагается налогом.</w:t>
      </w:r>
    </w:p>
    <w:p w:rsidR="00A2135F" w:rsidRPr="00C77C58" w:rsidRDefault="00D91041" w:rsidP="00A2135F">
      <w:pPr>
        <w:tabs>
          <w:tab w:val="left" w:pos="568"/>
          <w:tab w:val="left" w:pos="993"/>
          <w:tab w:val="left" w:pos="1134"/>
        </w:tabs>
        <w:spacing w:line="240" w:lineRule="auto"/>
        <w:ind w:firstLine="709"/>
        <w:rPr>
          <w:rFonts w:ascii="Times New Roman" w:hAnsi="Times New Roman"/>
          <w:bCs/>
          <w:szCs w:val="28"/>
        </w:rPr>
      </w:pPr>
      <w:r w:rsidRPr="00C77C58">
        <w:rPr>
          <w:rFonts w:ascii="Times New Roman" w:hAnsi="Times New Roman"/>
          <w:bCs/>
          <w:szCs w:val="28"/>
        </w:rPr>
        <w:t>Одновременно с увеличением размера доли участия лица в иностранной организации (с 25 до 50 процентов) в целях признания его контролирующим лицом иностранной организации исключается установленный в настоящее время необлагаемый порог прибыли контролируемой иностранной компании в размере 10 миллионов рублей, наличие которого на начальном этапе носило временный адаптационный характер.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>Законодательное закрепление подхода, сложившегося в правоприменительной практике, в соответствии с которым контроль над организацией, осуществляемый лицом единолично, приравнивается к участию этого лица в организации в доле, составляющей 100 процентов.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>Устранение неопределенности в отношении сроков представления налогоплательщиком в налоговый орган информации об изменения порядка или прекращения участия в иностранной организации.</w:t>
      </w:r>
    </w:p>
    <w:p w:rsidR="00A2135F" w:rsidRPr="00C77C58" w:rsidRDefault="00D91041" w:rsidP="00A2135F">
      <w:pPr>
        <w:pStyle w:val="ab"/>
        <w:numPr>
          <w:ilvl w:val="0"/>
          <w:numId w:val="11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7C58">
        <w:rPr>
          <w:rFonts w:ascii="Times New Roman" w:hAnsi="Times New Roman" w:cs="Times New Roman"/>
          <w:bCs/>
          <w:sz w:val="28"/>
          <w:szCs w:val="28"/>
        </w:rPr>
        <w:t>Установление обязанности по раскрытию информации о дате учреждения (регистрации) иностранной организации в уведомлении об участии в иностранной организации и уведомлении о контролируемых иностранных компаниях.</w:t>
      </w:r>
    </w:p>
    <w:p w:rsidR="00A2135F" w:rsidRDefault="00D91041" w:rsidP="00A2135F">
      <w:pPr>
        <w:tabs>
          <w:tab w:val="left" w:pos="568"/>
        </w:tabs>
        <w:spacing w:line="240" w:lineRule="auto"/>
        <w:ind w:firstLine="709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8. </w:t>
      </w:r>
      <w:r w:rsidRPr="00225810">
        <w:rPr>
          <w:rFonts w:ascii="Times New Roman" w:hAnsi="Times New Roman"/>
          <w:bCs/>
          <w:szCs w:val="28"/>
        </w:rPr>
        <w:t xml:space="preserve">До 2030 года для российских организаций продлевается возможность временно отложить уплату налога с прибыли контролируемых ими компаний в ситуациях, когда у таких иностранных компаний из-за </w:t>
      </w:r>
      <w:proofErr w:type="spellStart"/>
      <w:r w:rsidRPr="00225810">
        <w:rPr>
          <w:rFonts w:ascii="Times New Roman" w:hAnsi="Times New Roman"/>
          <w:bCs/>
          <w:szCs w:val="28"/>
        </w:rPr>
        <w:t>санкционных</w:t>
      </w:r>
      <w:proofErr w:type="spellEnd"/>
      <w:r w:rsidRPr="00225810">
        <w:rPr>
          <w:rFonts w:ascii="Times New Roman" w:hAnsi="Times New Roman"/>
          <w:bCs/>
          <w:szCs w:val="28"/>
        </w:rPr>
        <w:t xml:space="preserve"> ограничений отсутствует возможность распределять дивиденды</w:t>
      </w:r>
      <w:r w:rsidR="00201575">
        <w:rPr>
          <w:rFonts w:ascii="Times New Roman" w:hAnsi="Times New Roman"/>
          <w:bCs/>
          <w:szCs w:val="28"/>
        </w:rPr>
        <w:t>.</w:t>
      </w:r>
    </w:p>
    <w:sectPr w:rsidR="00A2135F" w:rsidSect="00A2135F">
      <w:headerReference w:type="default" r:id="rId10"/>
      <w:footerReference w:type="default" r:id="rId11"/>
      <w:footerReference w:type="first" r:id="rId12"/>
      <w:pgSz w:w="11907" w:h="16840" w:code="9"/>
      <w:pgMar w:top="1418" w:right="737" w:bottom="1418" w:left="1418" w:header="709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5A3" w:rsidRDefault="006835A3">
      <w:pPr>
        <w:spacing w:line="240" w:lineRule="auto"/>
      </w:pPr>
      <w:r>
        <w:separator/>
      </w:r>
    </w:p>
  </w:endnote>
  <w:endnote w:type="continuationSeparator" w:id="0">
    <w:p w:rsidR="006835A3" w:rsidRDefault="0068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259CC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D9104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2779956-</w:t>
          </w:r>
          <w:proofErr w:type="spellStart"/>
          <w:r>
            <w:rPr>
              <w:sz w:val="20"/>
              <w:lang w:val="en-US"/>
            </w:rPr>
            <w:t>Уч</w:t>
          </w:r>
          <w:proofErr w:type="spellEnd"/>
          <w:r>
            <w:rPr>
              <w:sz w:val="20"/>
              <w:lang w:val="en-US"/>
            </w:rPr>
            <w:t>-2025 (5.0)</w:t>
          </w:r>
        </w:p>
      </w:tc>
    </w:tr>
    <w:tr w:rsidR="005259CC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D9104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27DBA7EA" wp14:editId="30C574BB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259CC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D91041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2779956-</w:t>
          </w:r>
          <w:proofErr w:type="spellStart"/>
          <w:r>
            <w:rPr>
              <w:sz w:val="20"/>
              <w:lang w:val="en-US"/>
            </w:rPr>
            <w:t>Уч</w:t>
          </w:r>
          <w:proofErr w:type="spellEnd"/>
          <w:r>
            <w:rPr>
              <w:sz w:val="20"/>
              <w:lang w:val="en-US"/>
            </w:rPr>
            <w:t>-2025 (5.0)</w:t>
          </w:r>
        </w:p>
      </w:tc>
    </w:tr>
    <w:tr w:rsidR="005259CC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D91041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221BF0AB" wp14:editId="24EC9595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5A3" w:rsidRDefault="006835A3">
      <w:pPr>
        <w:spacing w:line="240" w:lineRule="auto"/>
      </w:pPr>
      <w:r>
        <w:separator/>
      </w:r>
    </w:p>
  </w:footnote>
  <w:footnote w:type="continuationSeparator" w:id="0">
    <w:p w:rsidR="006835A3" w:rsidRDefault="0068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D9104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67FA">
      <w:rPr>
        <w:rStyle w:val="a7"/>
        <w:noProof/>
      </w:rPr>
      <w:t>11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03D38"/>
    <w:multiLevelType w:val="hybridMultilevel"/>
    <w:tmpl w:val="E0604D8C"/>
    <w:lvl w:ilvl="0" w:tplc="B726DF04">
      <w:start w:val="1"/>
      <w:numFmt w:val="decimal"/>
      <w:suff w:val="space"/>
      <w:lvlText w:val="%1."/>
      <w:lvlJc w:val="left"/>
      <w:pPr>
        <w:ind w:left="2234" w:hanging="390"/>
      </w:pPr>
      <w:rPr>
        <w:rFonts w:hint="default"/>
      </w:rPr>
    </w:lvl>
    <w:lvl w:ilvl="1" w:tplc="34342878" w:tentative="1">
      <w:start w:val="1"/>
      <w:numFmt w:val="lowerLetter"/>
      <w:lvlText w:val="%2."/>
      <w:lvlJc w:val="left"/>
      <w:pPr>
        <w:ind w:left="1789" w:hanging="360"/>
      </w:pPr>
    </w:lvl>
    <w:lvl w:ilvl="2" w:tplc="EA00A004" w:tentative="1">
      <w:start w:val="1"/>
      <w:numFmt w:val="lowerRoman"/>
      <w:lvlText w:val="%3."/>
      <w:lvlJc w:val="right"/>
      <w:pPr>
        <w:ind w:left="2509" w:hanging="180"/>
      </w:pPr>
    </w:lvl>
    <w:lvl w:ilvl="3" w:tplc="54E8C114" w:tentative="1">
      <w:start w:val="1"/>
      <w:numFmt w:val="decimal"/>
      <w:lvlText w:val="%4."/>
      <w:lvlJc w:val="left"/>
      <w:pPr>
        <w:ind w:left="3229" w:hanging="360"/>
      </w:pPr>
    </w:lvl>
    <w:lvl w:ilvl="4" w:tplc="B4324F20" w:tentative="1">
      <w:start w:val="1"/>
      <w:numFmt w:val="lowerLetter"/>
      <w:lvlText w:val="%5."/>
      <w:lvlJc w:val="left"/>
      <w:pPr>
        <w:ind w:left="3949" w:hanging="360"/>
      </w:pPr>
    </w:lvl>
    <w:lvl w:ilvl="5" w:tplc="EB9A0DDE" w:tentative="1">
      <w:start w:val="1"/>
      <w:numFmt w:val="lowerRoman"/>
      <w:lvlText w:val="%6."/>
      <w:lvlJc w:val="right"/>
      <w:pPr>
        <w:ind w:left="4669" w:hanging="180"/>
      </w:pPr>
    </w:lvl>
    <w:lvl w:ilvl="6" w:tplc="7CEA82DA" w:tentative="1">
      <w:start w:val="1"/>
      <w:numFmt w:val="decimal"/>
      <w:lvlText w:val="%7."/>
      <w:lvlJc w:val="left"/>
      <w:pPr>
        <w:ind w:left="5389" w:hanging="360"/>
      </w:pPr>
    </w:lvl>
    <w:lvl w:ilvl="7" w:tplc="824C2920" w:tentative="1">
      <w:start w:val="1"/>
      <w:numFmt w:val="lowerLetter"/>
      <w:lvlText w:val="%8."/>
      <w:lvlJc w:val="left"/>
      <w:pPr>
        <w:ind w:left="6109" w:hanging="360"/>
      </w:pPr>
    </w:lvl>
    <w:lvl w:ilvl="8" w:tplc="1A10231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90F5B"/>
    <w:multiLevelType w:val="hybridMultilevel"/>
    <w:tmpl w:val="29EA55EC"/>
    <w:lvl w:ilvl="0" w:tplc="5E0A2EA0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  <w:b w:val="0"/>
      </w:rPr>
    </w:lvl>
    <w:lvl w:ilvl="1" w:tplc="F6001656">
      <w:start w:val="1"/>
      <w:numFmt w:val="decimal"/>
      <w:lvlText w:val="6.%2."/>
      <w:lvlJc w:val="left"/>
      <w:pPr>
        <w:ind w:left="1648" w:hanging="360"/>
      </w:pPr>
      <w:rPr>
        <w:rFonts w:hint="default"/>
      </w:rPr>
    </w:lvl>
    <w:lvl w:ilvl="2" w:tplc="52B0A7DC" w:tentative="1">
      <w:start w:val="1"/>
      <w:numFmt w:val="lowerRoman"/>
      <w:lvlText w:val="%3."/>
      <w:lvlJc w:val="right"/>
      <w:pPr>
        <w:ind w:left="2368" w:hanging="180"/>
      </w:pPr>
    </w:lvl>
    <w:lvl w:ilvl="3" w:tplc="1938C03A" w:tentative="1">
      <w:start w:val="1"/>
      <w:numFmt w:val="decimal"/>
      <w:lvlText w:val="%4."/>
      <w:lvlJc w:val="left"/>
      <w:pPr>
        <w:ind w:left="3088" w:hanging="360"/>
      </w:pPr>
    </w:lvl>
    <w:lvl w:ilvl="4" w:tplc="F27C1D26" w:tentative="1">
      <w:start w:val="1"/>
      <w:numFmt w:val="lowerLetter"/>
      <w:lvlText w:val="%5."/>
      <w:lvlJc w:val="left"/>
      <w:pPr>
        <w:ind w:left="3808" w:hanging="360"/>
      </w:pPr>
    </w:lvl>
    <w:lvl w:ilvl="5" w:tplc="A4F28A1A" w:tentative="1">
      <w:start w:val="1"/>
      <w:numFmt w:val="lowerRoman"/>
      <w:lvlText w:val="%6."/>
      <w:lvlJc w:val="right"/>
      <w:pPr>
        <w:ind w:left="4528" w:hanging="180"/>
      </w:pPr>
    </w:lvl>
    <w:lvl w:ilvl="6" w:tplc="7486A9A8" w:tentative="1">
      <w:start w:val="1"/>
      <w:numFmt w:val="decimal"/>
      <w:lvlText w:val="%7."/>
      <w:lvlJc w:val="left"/>
      <w:pPr>
        <w:ind w:left="5248" w:hanging="360"/>
      </w:pPr>
    </w:lvl>
    <w:lvl w:ilvl="7" w:tplc="11BA8DF8" w:tentative="1">
      <w:start w:val="1"/>
      <w:numFmt w:val="lowerLetter"/>
      <w:lvlText w:val="%8."/>
      <w:lvlJc w:val="left"/>
      <w:pPr>
        <w:ind w:left="5968" w:hanging="360"/>
      </w:pPr>
    </w:lvl>
    <w:lvl w:ilvl="8" w:tplc="FC6413DA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2261BA3"/>
    <w:multiLevelType w:val="hybridMultilevel"/>
    <w:tmpl w:val="F126DD66"/>
    <w:lvl w:ilvl="0" w:tplc="B13010D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5A92261C" w:tentative="1">
      <w:start w:val="1"/>
      <w:numFmt w:val="lowerLetter"/>
      <w:lvlText w:val="%2."/>
      <w:lvlJc w:val="left"/>
      <w:pPr>
        <w:ind w:left="2149" w:hanging="360"/>
      </w:pPr>
    </w:lvl>
    <w:lvl w:ilvl="2" w:tplc="898094B8" w:tentative="1">
      <w:start w:val="1"/>
      <w:numFmt w:val="lowerRoman"/>
      <w:lvlText w:val="%3."/>
      <w:lvlJc w:val="right"/>
      <w:pPr>
        <w:ind w:left="2869" w:hanging="180"/>
      </w:pPr>
    </w:lvl>
    <w:lvl w:ilvl="3" w:tplc="CA5223E4" w:tentative="1">
      <w:start w:val="1"/>
      <w:numFmt w:val="decimal"/>
      <w:lvlText w:val="%4."/>
      <w:lvlJc w:val="left"/>
      <w:pPr>
        <w:ind w:left="3589" w:hanging="360"/>
      </w:pPr>
    </w:lvl>
    <w:lvl w:ilvl="4" w:tplc="6B1463AE" w:tentative="1">
      <w:start w:val="1"/>
      <w:numFmt w:val="lowerLetter"/>
      <w:lvlText w:val="%5."/>
      <w:lvlJc w:val="left"/>
      <w:pPr>
        <w:ind w:left="4309" w:hanging="360"/>
      </w:pPr>
    </w:lvl>
    <w:lvl w:ilvl="5" w:tplc="9B409064" w:tentative="1">
      <w:start w:val="1"/>
      <w:numFmt w:val="lowerRoman"/>
      <w:lvlText w:val="%6."/>
      <w:lvlJc w:val="right"/>
      <w:pPr>
        <w:ind w:left="5029" w:hanging="180"/>
      </w:pPr>
    </w:lvl>
    <w:lvl w:ilvl="6" w:tplc="E58A6F5C" w:tentative="1">
      <w:start w:val="1"/>
      <w:numFmt w:val="decimal"/>
      <w:lvlText w:val="%7."/>
      <w:lvlJc w:val="left"/>
      <w:pPr>
        <w:ind w:left="5749" w:hanging="360"/>
      </w:pPr>
    </w:lvl>
    <w:lvl w:ilvl="7" w:tplc="B12C7374" w:tentative="1">
      <w:start w:val="1"/>
      <w:numFmt w:val="lowerLetter"/>
      <w:lvlText w:val="%8."/>
      <w:lvlJc w:val="left"/>
      <w:pPr>
        <w:ind w:left="6469" w:hanging="360"/>
      </w:pPr>
    </w:lvl>
    <w:lvl w:ilvl="8" w:tplc="CDD6220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2E239A4"/>
    <w:multiLevelType w:val="hybridMultilevel"/>
    <w:tmpl w:val="82F2EE4E"/>
    <w:lvl w:ilvl="0" w:tplc="B35C551C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  <w:b w:val="0"/>
      </w:rPr>
    </w:lvl>
    <w:lvl w:ilvl="1" w:tplc="7022510E">
      <w:start w:val="1"/>
      <w:numFmt w:val="decimal"/>
      <w:lvlText w:val="6.%2."/>
      <w:lvlJc w:val="left"/>
      <w:pPr>
        <w:ind w:left="1648" w:hanging="360"/>
      </w:pPr>
      <w:rPr>
        <w:rFonts w:hint="default"/>
      </w:rPr>
    </w:lvl>
    <w:lvl w:ilvl="2" w:tplc="01883FA4" w:tentative="1">
      <w:start w:val="1"/>
      <w:numFmt w:val="lowerRoman"/>
      <w:lvlText w:val="%3."/>
      <w:lvlJc w:val="right"/>
      <w:pPr>
        <w:ind w:left="2368" w:hanging="180"/>
      </w:pPr>
    </w:lvl>
    <w:lvl w:ilvl="3" w:tplc="F87C609E" w:tentative="1">
      <w:start w:val="1"/>
      <w:numFmt w:val="decimal"/>
      <w:lvlText w:val="%4."/>
      <w:lvlJc w:val="left"/>
      <w:pPr>
        <w:ind w:left="3088" w:hanging="360"/>
      </w:pPr>
    </w:lvl>
    <w:lvl w:ilvl="4" w:tplc="239A3334" w:tentative="1">
      <w:start w:val="1"/>
      <w:numFmt w:val="lowerLetter"/>
      <w:lvlText w:val="%5."/>
      <w:lvlJc w:val="left"/>
      <w:pPr>
        <w:ind w:left="3808" w:hanging="360"/>
      </w:pPr>
    </w:lvl>
    <w:lvl w:ilvl="5" w:tplc="D5F0089C" w:tentative="1">
      <w:start w:val="1"/>
      <w:numFmt w:val="lowerRoman"/>
      <w:lvlText w:val="%6."/>
      <w:lvlJc w:val="right"/>
      <w:pPr>
        <w:ind w:left="4528" w:hanging="180"/>
      </w:pPr>
    </w:lvl>
    <w:lvl w:ilvl="6" w:tplc="9A124B08" w:tentative="1">
      <w:start w:val="1"/>
      <w:numFmt w:val="decimal"/>
      <w:lvlText w:val="%7."/>
      <w:lvlJc w:val="left"/>
      <w:pPr>
        <w:ind w:left="5248" w:hanging="360"/>
      </w:pPr>
    </w:lvl>
    <w:lvl w:ilvl="7" w:tplc="F168EC04" w:tentative="1">
      <w:start w:val="1"/>
      <w:numFmt w:val="lowerLetter"/>
      <w:lvlText w:val="%8."/>
      <w:lvlJc w:val="left"/>
      <w:pPr>
        <w:ind w:left="5968" w:hanging="360"/>
      </w:pPr>
    </w:lvl>
    <w:lvl w:ilvl="8" w:tplc="17B60A40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585099A"/>
    <w:multiLevelType w:val="hybridMultilevel"/>
    <w:tmpl w:val="5C76B86E"/>
    <w:lvl w:ilvl="0" w:tplc="144AD6E2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1DD25882" w:tentative="1">
      <w:start w:val="1"/>
      <w:numFmt w:val="lowerLetter"/>
      <w:lvlText w:val="%2."/>
      <w:lvlJc w:val="left"/>
      <w:pPr>
        <w:ind w:left="1789" w:hanging="360"/>
      </w:pPr>
    </w:lvl>
    <w:lvl w:ilvl="2" w:tplc="D6249B32" w:tentative="1">
      <w:start w:val="1"/>
      <w:numFmt w:val="lowerRoman"/>
      <w:lvlText w:val="%3."/>
      <w:lvlJc w:val="right"/>
      <w:pPr>
        <w:ind w:left="2509" w:hanging="180"/>
      </w:pPr>
    </w:lvl>
    <w:lvl w:ilvl="3" w:tplc="5ED68BF8" w:tentative="1">
      <w:start w:val="1"/>
      <w:numFmt w:val="decimal"/>
      <w:lvlText w:val="%4."/>
      <w:lvlJc w:val="left"/>
      <w:pPr>
        <w:ind w:left="3229" w:hanging="360"/>
      </w:pPr>
    </w:lvl>
    <w:lvl w:ilvl="4" w:tplc="55A401C8" w:tentative="1">
      <w:start w:val="1"/>
      <w:numFmt w:val="lowerLetter"/>
      <w:lvlText w:val="%5."/>
      <w:lvlJc w:val="left"/>
      <w:pPr>
        <w:ind w:left="3949" w:hanging="360"/>
      </w:pPr>
    </w:lvl>
    <w:lvl w:ilvl="5" w:tplc="B8E6C6E8" w:tentative="1">
      <w:start w:val="1"/>
      <w:numFmt w:val="lowerRoman"/>
      <w:lvlText w:val="%6."/>
      <w:lvlJc w:val="right"/>
      <w:pPr>
        <w:ind w:left="4669" w:hanging="180"/>
      </w:pPr>
    </w:lvl>
    <w:lvl w:ilvl="6" w:tplc="292271D4" w:tentative="1">
      <w:start w:val="1"/>
      <w:numFmt w:val="decimal"/>
      <w:lvlText w:val="%7."/>
      <w:lvlJc w:val="left"/>
      <w:pPr>
        <w:ind w:left="5389" w:hanging="360"/>
      </w:pPr>
    </w:lvl>
    <w:lvl w:ilvl="7" w:tplc="6ABAFB3C" w:tentative="1">
      <w:start w:val="1"/>
      <w:numFmt w:val="lowerLetter"/>
      <w:lvlText w:val="%8."/>
      <w:lvlJc w:val="left"/>
      <w:pPr>
        <w:ind w:left="6109" w:hanging="360"/>
      </w:pPr>
    </w:lvl>
    <w:lvl w:ilvl="8" w:tplc="E802408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D771EC"/>
    <w:multiLevelType w:val="hybridMultilevel"/>
    <w:tmpl w:val="DB0E594E"/>
    <w:lvl w:ilvl="0" w:tplc="DF44BF94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463A7F04" w:tentative="1">
      <w:start w:val="1"/>
      <w:numFmt w:val="lowerLetter"/>
      <w:lvlText w:val="%2."/>
      <w:lvlJc w:val="left"/>
      <w:pPr>
        <w:ind w:left="1789" w:hanging="360"/>
      </w:pPr>
    </w:lvl>
    <w:lvl w:ilvl="2" w:tplc="654EF572" w:tentative="1">
      <w:start w:val="1"/>
      <w:numFmt w:val="lowerRoman"/>
      <w:lvlText w:val="%3."/>
      <w:lvlJc w:val="right"/>
      <w:pPr>
        <w:ind w:left="2509" w:hanging="180"/>
      </w:pPr>
    </w:lvl>
    <w:lvl w:ilvl="3" w:tplc="D8D02104" w:tentative="1">
      <w:start w:val="1"/>
      <w:numFmt w:val="decimal"/>
      <w:lvlText w:val="%4."/>
      <w:lvlJc w:val="left"/>
      <w:pPr>
        <w:ind w:left="3229" w:hanging="360"/>
      </w:pPr>
    </w:lvl>
    <w:lvl w:ilvl="4" w:tplc="1FBA6A14" w:tentative="1">
      <w:start w:val="1"/>
      <w:numFmt w:val="lowerLetter"/>
      <w:lvlText w:val="%5."/>
      <w:lvlJc w:val="left"/>
      <w:pPr>
        <w:ind w:left="3949" w:hanging="360"/>
      </w:pPr>
    </w:lvl>
    <w:lvl w:ilvl="5" w:tplc="F2D228D4" w:tentative="1">
      <w:start w:val="1"/>
      <w:numFmt w:val="lowerRoman"/>
      <w:lvlText w:val="%6."/>
      <w:lvlJc w:val="right"/>
      <w:pPr>
        <w:ind w:left="4669" w:hanging="180"/>
      </w:pPr>
    </w:lvl>
    <w:lvl w:ilvl="6" w:tplc="BFAA59C6" w:tentative="1">
      <w:start w:val="1"/>
      <w:numFmt w:val="decimal"/>
      <w:lvlText w:val="%7."/>
      <w:lvlJc w:val="left"/>
      <w:pPr>
        <w:ind w:left="5389" w:hanging="360"/>
      </w:pPr>
    </w:lvl>
    <w:lvl w:ilvl="7" w:tplc="6186A830" w:tentative="1">
      <w:start w:val="1"/>
      <w:numFmt w:val="lowerLetter"/>
      <w:lvlText w:val="%8."/>
      <w:lvlJc w:val="left"/>
      <w:pPr>
        <w:ind w:left="6109" w:hanging="360"/>
      </w:pPr>
    </w:lvl>
    <w:lvl w:ilvl="8" w:tplc="B80E6E6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9C68D2"/>
    <w:multiLevelType w:val="hybridMultilevel"/>
    <w:tmpl w:val="7FD695B4"/>
    <w:lvl w:ilvl="0" w:tplc="9782BB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9D58C4EC" w:tentative="1">
      <w:start w:val="1"/>
      <w:numFmt w:val="lowerLetter"/>
      <w:lvlText w:val="%2."/>
      <w:lvlJc w:val="left"/>
      <w:pPr>
        <w:ind w:left="1789" w:hanging="360"/>
      </w:pPr>
    </w:lvl>
    <w:lvl w:ilvl="2" w:tplc="4B64C332" w:tentative="1">
      <w:start w:val="1"/>
      <w:numFmt w:val="lowerRoman"/>
      <w:lvlText w:val="%3."/>
      <w:lvlJc w:val="right"/>
      <w:pPr>
        <w:ind w:left="2509" w:hanging="180"/>
      </w:pPr>
    </w:lvl>
    <w:lvl w:ilvl="3" w:tplc="EA428268" w:tentative="1">
      <w:start w:val="1"/>
      <w:numFmt w:val="decimal"/>
      <w:lvlText w:val="%4."/>
      <w:lvlJc w:val="left"/>
      <w:pPr>
        <w:ind w:left="3229" w:hanging="360"/>
      </w:pPr>
    </w:lvl>
    <w:lvl w:ilvl="4" w:tplc="60B22AF8" w:tentative="1">
      <w:start w:val="1"/>
      <w:numFmt w:val="lowerLetter"/>
      <w:lvlText w:val="%5."/>
      <w:lvlJc w:val="left"/>
      <w:pPr>
        <w:ind w:left="3949" w:hanging="360"/>
      </w:pPr>
    </w:lvl>
    <w:lvl w:ilvl="5" w:tplc="B9243B48" w:tentative="1">
      <w:start w:val="1"/>
      <w:numFmt w:val="lowerRoman"/>
      <w:lvlText w:val="%6."/>
      <w:lvlJc w:val="right"/>
      <w:pPr>
        <w:ind w:left="4669" w:hanging="180"/>
      </w:pPr>
    </w:lvl>
    <w:lvl w:ilvl="6" w:tplc="A55C44FC" w:tentative="1">
      <w:start w:val="1"/>
      <w:numFmt w:val="decimal"/>
      <w:lvlText w:val="%7."/>
      <w:lvlJc w:val="left"/>
      <w:pPr>
        <w:ind w:left="5389" w:hanging="360"/>
      </w:pPr>
    </w:lvl>
    <w:lvl w:ilvl="7" w:tplc="E2FA5138" w:tentative="1">
      <w:start w:val="1"/>
      <w:numFmt w:val="lowerLetter"/>
      <w:lvlText w:val="%8."/>
      <w:lvlJc w:val="left"/>
      <w:pPr>
        <w:ind w:left="6109" w:hanging="360"/>
      </w:pPr>
    </w:lvl>
    <w:lvl w:ilvl="8" w:tplc="5C6C1E9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433E47"/>
    <w:multiLevelType w:val="hybridMultilevel"/>
    <w:tmpl w:val="560CA186"/>
    <w:lvl w:ilvl="0" w:tplc="E7986514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  <w:b w:val="0"/>
      </w:rPr>
    </w:lvl>
    <w:lvl w:ilvl="1" w:tplc="43F47142">
      <w:start w:val="1"/>
      <w:numFmt w:val="decimal"/>
      <w:lvlText w:val="6.%2."/>
      <w:lvlJc w:val="left"/>
      <w:pPr>
        <w:ind w:left="1648" w:hanging="360"/>
      </w:pPr>
      <w:rPr>
        <w:rFonts w:hint="default"/>
      </w:rPr>
    </w:lvl>
    <w:lvl w:ilvl="2" w:tplc="5036A47E" w:tentative="1">
      <w:start w:val="1"/>
      <w:numFmt w:val="lowerRoman"/>
      <w:lvlText w:val="%3."/>
      <w:lvlJc w:val="right"/>
      <w:pPr>
        <w:ind w:left="2368" w:hanging="180"/>
      </w:pPr>
    </w:lvl>
    <w:lvl w:ilvl="3" w:tplc="F154B098" w:tentative="1">
      <w:start w:val="1"/>
      <w:numFmt w:val="decimal"/>
      <w:lvlText w:val="%4."/>
      <w:lvlJc w:val="left"/>
      <w:pPr>
        <w:ind w:left="3088" w:hanging="360"/>
      </w:pPr>
    </w:lvl>
    <w:lvl w:ilvl="4" w:tplc="64D49F2C" w:tentative="1">
      <w:start w:val="1"/>
      <w:numFmt w:val="lowerLetter"/>
      <w:lvlText w:val="%5."/>
      <w:lvlJc w:val="left"/>
      <w:pPr>
        <w:ind w:left="3808" w:hanging="360"/>
      </w:pPr>
    </w:lvl>
    <w:lvl w:ilvl="5" w:tplc="DEB0864E" w:tentative="1">
      <w:start w:val="1"/>
      <w:numFmt w:val="lowerRoman"/>
      <w:lvlText w:val="%6."/>
      <w:lvlJc w:val="right"/>
      <w:pPr>
        <w:ind w:left="4528" w:hanging="180"/>
      </w:pPr>
    </w:lvl>
    <w:lvl w:ilvl="6" w:tplc="EB2C9E40" w:tentative="1">
      <w:start w:val="1"/>
      <w:numFmt w:val="decimal"/>
      <w:lvlText w:val="%7."/>
      <w:lvlJc w:val="left"/>
      <w:pPr>
        <w:ind w:left="5248" w:hanging="360"/>
      </w:pPr>
    </w:lvl>
    <w:lvl w:ilvl="7" w:tplc="9864C464" w:tentative="1">
      <w:start w:val="1"/>
      <w:numFmt w:val="lowerLetter"/>
      <w:lvlText w:val="%8."/>
      <w:lvlJc w:val="left"/>
      <w:pPr>
        <w:ind w:left="5968" w:hanging="360"/>
      </w:pPr>
    </w:lvl>
    <w:lvl w:ilvl="8" w:tplc="C9845D06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F584E59"/>
    <w:multiLevelType w:val="hybridMultilevel"/>
    <w:tmpl w:val="8AFEC368"/>
    <w:lvl w:ilvl="0" w:tplc="F09E9CF2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  <w:b w:val="0"/>
      </w:rPr>
    </w:lvl>
    <w:lvl w:ilvl="1" w:tplc="83D4DA5E">
      <w:start w:val="1"/>
      <w:numFmt w:val="decimal"/>
      <w:lvlText w:val="6.%2."/>
      <w:lvlJc w:val="left"/>
      <w:pPr>
        <w:ind w:left="1648" w:hanging="360"/>
      </w:pPr>
      <w:rPr>
        <w:rFonts w:hint="default"/>
      </w:rPr>
    </w:lvl>
    <w:lvl w:ilvl="2" w:tplc="DD0C9FE4" w:tentative="1">
      <w:start w:val="1"/>
      <w:numFmt w:val="lowerRoman"/>
      <w:lvlText w:val="%3."/>
      <w:lvlJc w:val="right"/>
      <w:pPr>
        <w:ind w:left="2368" w:hanging="180"/>
      </w:pPr>
    </w:lvl>
    <w:lvl w:ilvl="3" w:tplc="82CC4712" w:tentative="1">
      <w:start w:val="1"/>
      <w:numFmt w:val="decimal"/>
      <w:lvlText w:val="%4."/>
      <w:lvlJc w:val="left"/>
      <w:pPr>
        <w:ind w:left="3088" w:hanging="360"/>
      </w:pPr>
    </w:lvl>
    <w:lvl w:ilvl="4" w:tplc="04660638" w:tentative="1">
      <w:start w:val="1"/>
      <w:numFmt w:val="lowerLetter"/>
      <w:lvlText w:val="%5."/>
      <w:lvlJc w:val="left"/>
      <w:pPr>
        <w:ind w:left="3808" w:hanging="360"/>
      </w:pPr>
    </w:lvl>
    <w:lvl w:ilvl="5" w:tplc="CDD868B0" w:tentative="1">
      <w:start w:val="1"/>
      <w:numFmt w:val="lowerRoman"/>
      <w:lvlText w:val="%6."/>
      <w:lvlJc w:val="right"/>
      <w:pPr>
        <w:ind w:left="4528" w:hanging="180"/>
      </w:pPr>
    </w:lvl>
    <w:lvl w:ilvl="6" w:tplc="BD2CEAE4" w:tentative="1">
      <w:start w:val="1"/>
      <w:numFmt w:val="decimal"/>
      <w:lvlText w:val="%7."/>
      <w:lvlJc w:val="left"/>
      <w:pPr>
        <w:ind w:left="5248" w:hanging="360"/>
      </w:pPr>
    </w:lvl>
    <w:lvl w:ilvl="7" w:tplc="D1380A1C" w:tentative="1">
      <w:start w:val="1"/>
      <w:numFmt w:val="lowerLetter"/>
      <w:lvlText w:val="%8."/>
      <w:lvlJc w:val="left"/>
      <w:pPr>
        <w:ind w:left="5968" w:hanging="360"/>
      </w:pPr>
    </w:lvl>
    <w:lvl w:ilvl="8" w:tplc="2AB24086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733B67DD"/>
    <w:multiLevelType w:val="hybridMultilevel"/>
    <w:tmpl w:val="A9024330"/>
    <w:lvl w:ilvl="0" w:tplc="1EA888EA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DAE07468" w:tentative="1">
      <w:start w:val="1"/>
      <w:numFmt w:val="lowerLetter"/>
      <w:lvlText w:val="%2."/>
      <w:lvlJc w:val="left"/>
      <w:pPr>
        <w:ind w:left="1931" w:hanging="360"/>
      </w:pPr>
    </w:lvl>
    <w:lvl w:ilvl="2" w:tplc="5EDCBA14" w:tentative="1">
      <w:start w:val="1"/>
      <w:numFmt w:val="lowerRoman"/>
      <w:lvlText w:val="%3."/>
      <w:lvlJc w:val="right"/>
      <w:pPr>
        <w:ind w:left="2651" w:hanging="180"/>
      </w:pPr>
    </w:lvl>
    <w:lvl w:ilvl="3" w:tplc="0504C118" w:tentative="1">
      <w:start w:val="1"/>
      <w:numFmt w:val="decimal"/>
      <w:lvlText w:val="%4."/>
      <w:lvlJc w:val="left"/>
      <w:pPr>
        <w:ind w:left="3371" w:hanging="360"/>
      </w:pPr>
    </w:lvl>
    <w:lvl w:ilvl="4" w:tplc="3C82AF5C" w:tentative="1">
      <w:start w:val="1"/>
      <w:numFmt w:val="lowerLetter"/>
      <w:lvlText w:val="%5."/>
      <w:lvlJc w:val="left"/>
      <w:pPr>
        <w:ind w:left="4091" w:hanging="360"/>
      </w:pPr>
    </w:lvl>
    <w:lvl w:ilvl="5" w:tplc="F23A2C26" w:tentative="1">
      <w:start w:val="1"/>
      <w:numFmt w:val="lowerRoman"/>
      <w:lvlText w:val="%6."/>
      <w:lvlJc w:val="right"/>
      <w:pPr>
        <w:ind w:left="4811" w:hanging="180"/>
      </w:pPr>
    </w:lvl>
    <w:lvl w:ilvl="6" w:tplc="1D56E3FC" w:tentative="1">
      <w:start w:val="1"/>
      <w:numFmt w:val="decimal"/>
      <w:lvlText w:val="%7."/>
      <w:lvlJc w:val="left"/>
      <w:pPr>
        <w:ind w:left="5531" w:hanging="360"/>
      </w:pPr>
    </w:lvl>
    <w:lvl w:ilvl="7" w:tplc="EAFAF5C0" w:tentative="1">
      <w:start w:val="1"/>
      <w:numFmt w:val="lowerLetter"/>
      <w:lvlText w:val="%8."/>
      <w:lvlJc w:val="left"/>
      <w:pPr>
        <w:ind w:left="6251" w:hanging="360"/>
      </w:pPr>
    </w:lvl>
    <w:lvl w:ilvl="8" w:tplc="671C146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39C7ACD"/>
    <w:multiLevelType w:val="hybridMultilevel"/>
    <w:tmpl w:val="2ABAAB2C"/>
    <w:lvl w:ilvl="0" w:tplc="C000434A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DF8825B6" w:tentative="1">
      <w:start w:val="1"/>
      <w:numFmt w:val="lowerLetter"/>
      <w:lvlText w:val="%2."/>
      <w:lvlJc w:val="left"/>
      <w:pPr>
        <w:ind w:left="1789" w:hanging="360"/>
      </w:pPr>
    </w:lvl>
    <w:lvl w:ilvl="2" w:tplc="0F5ECD72" w:tentative="1">
      <w:start w:val="1"/>
      <w:numFmt w:val="lowerRoman"/>
      <w:lvlText w:val="%3."/>
      <w:lvlJc w:val="right"/>
      <w:pPr>
        <w:ind w:left="2509" w:hanging="180"/>
      </w:pPr>
    </w:lvl>
    <w:lvl w:ilvl="3" w:tplc="21F4D71A" w:tentative="1">
      <w:start w:val="1"/>
      <w:numFmt w:val="decimal"/>
      <w:lvlText w:val="%4."/>
      <w:lvlJc w:val="left"/>
      <w:pPr>
        <w:ind w:left="3229" w:hanging="360"/>
      </w:pPr>
    </w:lvl>
    <w:lvl w:ilvl="4" w:tplc="983A6DBC" w:tentative="1">
      <w:start w:val="1"/>
      <w:numFmt w:val="lowerLetter"/>
      <w:lvlText w:val="%5."/>
      <w:lvlJc w:val="left"/>
      <w:pPr>
        <w:ind w:left="3949" w:hanging="360"/>
      </w:pPr>
    </w:lvl>
    <w:lvl w:ilvl="5" w:tplc="1FF2DE22" w:tentative="1">
      <w:start w:val="1"/>
      <w:numFmt w:val="lowerRoman"/>
      <w:lvlText w:val="%6."/>
      <w:lvlJc w:val="right"/>
      <w:pPr>
        <w:ind w:left="4669" w:hanging="180"/>
      </w:pPr>
    </w:lvl>
    <w:lvl w:ilvl="6" w:tplc="6A580BE0" w:tentative="1">
      <w:start w:val="1"/>
      <w:numFmt w:val="decimal"/>
      <w:lvlText w:val="%7."/>
      <w:lvlJc w:val="left"/>
      <w:pPr>
        <w:ind w:left="5389" w:hanging="360"/>
      </w:pPr>
    </w:lvl>
    <w:lvl w:ilvl="7" w:tplc="D2FC8476" w:tentative="1">
      <w:start w:val="1"/>
      <w:numFmt w:val="lowerLetter"/>
      <w:lvlText w:val="%8."/>
      <w:lvlJc w:val="left"/>
      <w:pPr>
        <w:ind w:left="6109" w:hanging="360"/>
      </w:pPr>
    </w:lvl>
    <w:lvl w:ilvl="8" w:tplc="35E4FB5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2144E"/>
    <w:multiLevelType w:val="hybridMultilevel"/>
    <w:tmpl w:val="DD0826D8"/>
    <w:lvl w:ilvl="0" w:tplc="09CC1442">
      <w:start w:val="1"/>
      <w:numFmt w:val="decimal"/>
      <w:suff w:val="space"/>
      <w:lvlText w:val="%1."/>
      <w:lvlJc w:val="left"/>
      <w:pPr>
        <w:ind w:left="2204" w:hanging="360"/>
      </w:pPr>
      <w:rPr>
        <w:rFonts w:hint="default"/>
      </w:rPr>
    </w:lvl>
    <w:lvl w:ilvl="1" w:tplc="6AA010CC" w:tentative="1">
      <w:start w:val="1"/>
      <w:numFmt w:val="lowerLetter"/>
      <w:lvlText w:val="%2."/>
      <w:lvlJc w:val="left"/>
      <w:pPr>
        <w:ind w:left="1789" w:hanging="360"/>
      </w:pPr>
    </w:lvl>
    <w:lvl w:ilvl="2" w:tplc="DE2A9024" w:tentative="1">
      <w:start w:val="1"/>
      <w:numFmt w:val="lowerRoman"/>
      <w:lvlText w:val="%3."/>
      <w:lvlJc w:val="right"/>
      <w:pPr>
        <w:ind w:left="2509" w:hanging="180"/>
      </w:pPr>
    </w:lvl>
    <w:lvl w:ilvl="3" w:tplc="29FCFD6A" w:tentative="1">
      <w:start w:val="1"/>
      <w:numFmt w:val="decimal"/>
      <w:lvlText w:val="%4."/>
      <w:lvlJc w:val="left"/>
      <w:pPr>
        <w:ind w:left="3229" w:hanging="360"/>
      </w:pPr>
    </w:lvl>
    <w:lvl w:ilvl="4" w:tplc="6C94CECE" w:tentative="1">
      <w:start w:val="1"/>
      <w:numFmt w:val="lowerLetter"/>
      <w:lvlText w:val="%5."/>
      <w:lvlJc w:val="left"/>
      <w:pPr>
        <w:ind w:left="3949" w:hanging="360"/>
      </w:pPr>
    </w:lvl>
    <w:lvl w:ilvl="5" w:tplc="6F9ADE24" w:tentative="1">
      <w:start w:val="1"/>
      <w:numFmt w:val="lowerRoman"/>
      <w:lvlText w:val="%6."/>
      <w:lvlJc w:val="right"/>
      <w:pPr>
        <w:ind w:left="4669" w:hanging="180"/>
      </w:pPr>
    </w:lvl>
    <w:lvl w:ilvl="6" w:tplc="BF8622FA" w:tentative="1">
      <w:start w:val="1"/>
      <w:numFmt w:val="decimal"/>
      <w:lvlText w:val="%7."/>
      <w:lvlJc w:val="left"/>
      <w:pPr>
        <w:ind w:left="5389" w:hanging="360"/>
      </w:pPr>
    </w:lvl>
    <w:lvl w:ilvl="7" w:tplc="3184F152" w:tentative="1">
      <w:start w:val="1"/>
      <w:numFmt w:val="lowerLetter"/>
      <w:lvlText w:val="%8."/>
      <w:lvlJc w:val="left"/>
      <w:pPr>
        <w:ind w:left="6109" w:hanging="360"/>
      </w:pPr>
    </w:lvl>
    <w:lvl w:ilvl="8" w:tplc="932EC824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10"/>
  </w:num>
  <w:num w:numId="7">
    <w:abstractNumId w:val="9"/>
  </w:num>
  <w:num w:numId="8">
    <w:abstractNumId w:val="11"/>
  </w:num>
  <w:num w:numId="9">
    <w:abstractNumId w:val="0"/>
  </w:num>
  <w:num w:numId="10">
    <w:abstractNumId w:val="4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034F7"/>
    <w:rsid w:val="00041F37"/>
    <w:rsid w:val="000567FA"/>
    <w:rsid w:val="00093709"/>
    <w:rsid w:val="00112200"/>
    <w:rsid w:val="001C2283"/>
    <w:rsid w:val="00201575"/>
    <w:rsid w:val="00215303"/>
    <w:rsid w:val="00225810"/>
    <w:rsid w:val="00237D4C"/>
    <w:rsid w:val="00266006"/>
    <w:rsid w:val="002C28FC"/>
    <w:rsid w:val="003475C3"/>
    <w:rsid w:val="003B70BF"/>
    <w:rsid w:val="003C3B7D"/>
    <w:rsid w:val="003F4514"/>
    <w:rsid w:val="0046314F"/>
    <w:rsid w:val="00476DC1"/>
    <w:rsid w:val="0049081B"/>
    <w:rsid w:val="004A75E5"/>
    <w:rsid w:val="004B3CE4"/>
    <w:rsid w:val="004B6461"/>
    <w:rsid w:val="00517EA7"/>
    <w:rsid w:val="005259CC"/>
    <w:rsid w:val="005329C4"/>
    <w:rsid w:val="005374FA"/>
    <w:rsid w:val="00570423"/>
    <w:rsid w:val="00642694"/>
    <w:rsid w:val="00646649"/>
    <w:rsid w:val="006835A3"/>
    <w:rsid w:val="00690DAC"/>
    <w:rsid w:val="006B3CDE"/>
    <w:rsid w:val="006B54EE"/>
    <w:rsid w:val="006F0662"/>
    <w:rsid w:val="007514FA"/>
    <w:rsid w:val="00802F2D"/>
    <w:rsid w:val="008114AC"/>
    <w:rsid w:val="00834D4D"/>
    <w:rsid w:val="009D1F78"/>
    <w:rsid w:val="009E2468"/>
    <w:rsid w:val="00A055C6"/>
    <w:rsid w:val="00A1707D"/>
    <w:rsid w:val="00A2135F"/>
    <w:rsid w:val="00A63C78"/>
    <w:rsid w:val="00A97EEE"/>
    <w:rsid w:val="00AA7EEC"/>
    <w:rsid w:val="00AB4C1F"/>
    <w:rsid w:val="00AE366B"/>
    <w:rsid w:val="00AF71A8"/>
    <w:rsid w:val="00AF7439"/>
    <w:rsid w:val="00B37DF3"/>
    <w:rsid w:val="00C77C58"/>
    <w:rsid w:val="00CC266C"/>
    <w:rsid w:val="00D205A9"/>
    <w:rsid w:val="00D655A6"/>
    <w:rsid w:val="00D91041"/>
    <w:rsid w:val="00DE3D57"/>
    <w:rsid w:val="00E63E2C"/>
    <w:rsid w:val="00EB009B"/>
    <w:rsid w:val="00EC6A52"/>
    <w:rsid w:val="00F42F1C"/>
    <w:rsid w:val="00FC3BB7"/>
    <w:rsid w:val="00FD6D60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A1707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ody Text"/>
    <w:basedOn w:val="a"/>
    <w:link w:val="ad"/>
    <w:rsid w:val="00A1707D"/>
    <w:pPr>
      <w:spacing w:line="240" w:lineRule="auto"/>
    </w:pPr>
    <w:rPr>
      <w:rFonts w:ascii="Times New Roman" w:hAnsi="Times New Roman"/>
    </w:rPr>
  </w:style>
  <w:style w:type="character" w:customStyle="1" w:styleId="ad">
    <w:name w:val="Основной текст Знак"/>
    <w:basedOn w:val="a0"/>
    <w:link w:val="ac"/>
    <w:rsid w:val="00A170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1707D"/>
    <w:pPr>
      <w:keepNext/>
      <w:keepLines/>
      <w:tabs>
        <w:tab w:val="left" w:pos="993"/>
      </w:tabs>
      <w:spacing w:line="240" w:lineRule="auto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rsid w:val="00A1707D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List Paragraph"/>
    <w:basedOn w:val="a"/>
    <w:uiPriority w:val="34"/>
    <w:qFormat/>
    <w:rsid w:val="00A1707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Body Text"/>
    <w:basedOn w:val="a"/>
    <w:link w:val="ad"/>
    <w:rsid w:val="00A1707D"/>
    <w:pPr>
      <w:spacing w:line="240" w:lineRule="auto"/>
    </w:pPr>
    <w:rPr>
      <w:rFonts w:ascii="Times New Roman" w:hAnsi="Times New Roman"/>
    </w:rPr>
  </w:style>
  <w:style w:type="character" w:customStyle="1" w:styleId="ad">
    <w:name w:val="Основной текст Знак"/>
    <w:basedOn w:val="a0"/>
    <w:link w:val="ac"/>
    <w:rsid w:val="00A170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1707D"/>
    <w:pPr>
      <w:keepNext/>
      <w:keepLines/>
      <w:tabs>
        <w:tab w:val="left" w:pos="993"/>
      </w:tabs>
      <w:spacing w:line="240" w:lineRule="auto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rsid w:val="00A1707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6260&amp;dst=100004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099A1-C67B-4EE5-8A11-BF3C1524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4008</Words>
  <Characters>22847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Кузовлева Е.О.</cp:lastModifiedBy>
  <cp:revision>24</cp:revision>
  <cp:lastPrinted>2026-09-30T17:08:00Z</cp:lastPrinted>
  <dcterms:created xsi:type="dcterms:W3CDTF">2022-12-14T20:20:00Z</dcterms:created>
  <dcterms:modified xsi:type="dcterms:W3CDTF">2026-09-30T17:09:00Z</dcterms:modified>
</cp:coreProperties>
</file>