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header3.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_rels/document.xml.rels" ContentType="application/vnd.openxmlformats-package.relationships+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glossary/_rels/document.xml.rels" ContentType="application/vnd.openxmlformats-package.relationship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numPr>
          <w:ilvl w:val="0"/>
          <w:numId w:val="0"/>
        </w:numPr>
        <w:spacing w:lineRule="auto" w:line="240" w:before="520" w:after="0"/>
        <w:ind w:hanging="0" w:left="0"/>
        <w:jc w:val="right"/>
        <w:outlineLvl w:val="2"/>
        <w:rPr>
          <w:bCs/>
          <w:szCs w:val="28"/>
        </w:rPr>
      </w:pPr>
      <w:r>
        <w:rPr>
          <w:bCs/>
          <w:szCs w:val="28"/>
        </w:rPr>
        <w:t>ПРОЕКТ</w:t>
      </w:r>
    </w:p>
    <w:p>
      <w:pPr>
        <w:pStyle w:val="Normal"/>
        <w:keepNext w:val="true"/>
        <w:numPr>
          <w:ilvl w:val="0"/>
          <w:numId w:val="0"/>
        </w:numPr>
        <w:spacing w:lineRule="auto" w:line="240" w:before="520" w:after="0"/>
        <w:ind w:hanging="0" w:left="0"/>
        <w:jc w:val="right"/>
        <w:outlineLvl w:val="2"/>
        <w:rPr>
          <w:bCs/>
          <w:szCs w:val="28"/>
        </w:rPr>
      </w:pPr>
      <w:r>
        <w:rPr>
          <w:bCs/>
          <w:szCs w:val="28"/>
        </w:rPr>
      </w:r>
    </w:p>
    <w:p>
      <w:pPr>
        <w:pStyle w:val="Normal"/>
        <w:keepNext w:val="true"/>
        <w:numPr>
          <w:ilvl w:val="0"/>
          <w:numId w:val="0"/>
        </w:numPr>
        <w:spacing w:lineRule="auto" w:line="240" w:before="520" w:after="0"/>
        <w:ind w:hanging="0" w:left="0"/>
        <w:jc w:val="center"/>
        <w:outlineLvl w:val="2"/>
        <w:rPr>
          <w:b/>
          <w:szCs w:val="28"/>
        </w:rPr>
      </w:pPr>
      <w:r>
        <w:rPr>
          <w:b/>
          <w:szCs w:val="28"/>
        </w:rPr>
        <w:t>ПРАВИТЕЛЬСТВО РОССИЙСКОЙ ФЕДЕРАЦИИ</w:t>
      </w:r>
    </w:p>
    <w:p>
      <w:pPr>
        <w:pStyle w:val="Normal"/>
        <w:spacing w:lineRule="exact" w:line="240"/>
        <w:jc w:val="center"/>
        <w:rPr>
          <w:sz w:val="20"/>
        </w:rPr>
      </w:pPr>
      <w:r>
        <w:rPr>
          <w:sz w:val="20"/>
        </w:rPr>
      </w:r>
    </w:p>
    <w:p>
      <w:pPr>
        <w:pStyle w:val="Normal"/>
        <w:spacing w:lineRule="auto" w:line="240"/>
        <w:jc w:val="center"/>
        <w:rPr>
          <w:spacing w:val="-14"/>
          <w:sz w:val="30"/>
          <w:szCs w:val="30"/>
        </w:rPr>
      </w:pPr>
      <w:r>
        <w:rPr>
          <w:spacing w:val="-14"/>
          <w:sz w:val="30"/>
          <w:szCs w:val="30"/>
        </w:rPr>
        <w:t>П О С Т А Н О В Л Е Н И Е</w:t>
      </w:r>
    </w:p>
    <w:p>
      <w:pPr>
        <w:pStyle w:val="Normal"/>
        <w:spacing w:lineRule="auto" w:line="240"/>
        <w:jc w:val="center"/>
        <w:rPr>
          <w:sz w:val="20"/>
        </w:rPr>
      </w:pPr>
      <w:r>
        <w:rPr>
          <w:sz w:val="20"/>
        </w:rPr>
      </w:r>
    </w:p>
    <w:tbl>
      <w:tblPr>
        <w:tblStyle w:val="10"/>
        <w:tblW w:w="6294"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6294"/>
      </w:tblGrid>
      <w:tr>
        <w:trPr/>
        <w:tc>
          <w:tcPr>
            <w:tcW w:w="6294" w:type="dxa"/>
            <w:tcBorders>
              <w:top w:val="nil"/>
              <w:left w:val="nil"/>
              <w:bottom w:val="nil"/>
              <w:right w:val="nil"/>
            </w:tcBorders>
          </w:tcPr>
          <w:p>
            <w:pPr>
              <w:pStyle w:val="Normal"/>
              <w:widowControl/>
              <w:suppressAutoHyphens w:val="true"/>
              <w:spacing w:lineRule="auto" w:line="240" w:before="0" w:after="40"/>
              <w:jc w:val="center"/>
              <w:rPr>
                <w:szCs w:val="28"/>
              </w:rPr>
            </w:pPr>
            <w:r>
              <w:rPr>
                <w:rFonts w:eastAsia="Times New Roman" w:cs="Times New Roman"/>
                <w:kern w:val="0"/>
                <w:szCs w:val="28"/>
                <w:lang w:val="ru-RU" w:eastAsia="ru-RU" w:bidi="ar-SA"/>
              </w:rPr>
              <w:t>от «____» ______________________ г. № _______</w:t>
            </w:r>
          </w:p>
        </w:tc>
      </w:tr>
    </w:tbl>
    <w:p>
      <w:pPr>
        <w:pStyle w:val="Normal"/>
        <w:spacing w:lineRule="auto" w:line="240"/>
        <w:jc w:val="center"/>
        <w:rPr>
          <w:sz w:val="20"/>
        </w:rPr>
      </w:pPr>
      <w:r>
        <w:rPr>
          <w:sz w:val="20"/>
        </w:rPr>
      </w:r>
    </w:p>
    <w:p>
      <w:pPr>
        <w:pStyle w:val="Normal"/>
        <w:spacing w:lineRule="auto" w:line="240"/>
        <w:jc w:val="center"/>
        <w:rPr>
          <w:spacing w:val="14"/>
          <w:sz w:val="20"/>
        </w:rPr>
      </w:pPr>
      <w:r>
        <w:rPr>
          <w:smallCaps/>
          <w:spacing w:val="14"/>
          <w:sz w:val="20"/>
        </w:rPr>
        <w:t>МОСКВА</w:t>
      </w:r>
      <w:bookmarkStart w:id="0" w:name="_Hlk175912642"/>
    </w:p>
    <w:p>
      <w:pPr>
        <w:pStyle w:val="Normal"/>
        <w:spacing w:lineRule="auto" w:line="312" w:before="600" w:after="0"/>
        <w:jc w:val="center"/>
        <w:rPr>
          <w:rFonts w:eastAsia="Calibri"/>
          <w:b/>
          <w:szCs w:val="28"/>
        </w:rPr>
      </w:pPr>
      <w:bookmarkStart w:id="1" w:name="_Hlk191631836"/>
      <w:r>
        <w:rPr>
          <w:rFonts w:eastAsia="Calibri"/>
          <w:b/>
          <w:szCs w:val="28"/>
        </w:rPr>
        <w:t xml:space="preserve">Об </w:t>
      </w:r>
      <w:bookmarkEnd w:id="1"/>
      <w:r>
        <w:rPr>
          <w:rFonts w:eastAsia="Calibri"/>
          <w:b/>
          <w:szCs w:val="28"/>
        </w:rPr>
        <w:t>электронной почтовой системе</w:t>
      </w:r>
      <w:bookmarkEnd w:id="0"/>
    </w:p>
    <w:p>
      <w:pPr>
        <w:pStyle w:val="Normal"/>
        <w:spacing w:lineRule="auto" w:line="288" w:before="600" w:after="0"/>
        <w:ind w:firstLine="567"/>
        <w:rPr>
          <w:b/>
          <w:spacing w:val="14"/>
          <w:szCs w:val="28"/>
        </w:rPr>
      </w:pPr>
      <w:r>
        <w:rPr>
          <w:szCs w:val="28"/>
        </w:rPr>
        <w:t xml:space="preserve">В </w:t>
      </w:r>
      <w:bookmarkStart w:id="2" w:name="_Hlk181884369"/>
      <w:r>
        <w:rPr>
          <w:szCs w:val="28"/>
        </w:rPr>
        <w:t>соответствии с частями второй, третьей и седьмой статьи 32</w:t>
      </w:r>
      <w:r>
        <w:rPr>
          <w:szCs w:val="28"/>
          <w:vertAlign w:val="superscript"/>
        </w:rPr>
        <w:t>1</w:t>
      </w:r>
      <w:r>
        <w:rPr>
          <w:szCs w:val="28"/>
        </w:rPr>
        <w:t xml:space="preserve"> Федерального закона «О почтовой связи»</w:t>
      </w:r>
      <w:bookmarkEnd w:id="2"/>
      <w:r>
        <w:rPr>
          <w:szCs w:val="28"/>
        </w:rPr>
        <w:t xml:space="preserve"> Правительство Российской Федерации</w:t>
      </w:r>
      <w:r>
        <w:rPr>
          <w:b/>
          <w:szCs w:val="28"/>
        </w:rPr>
        <w:t xml:space="preserve"> п о с т а н о в л я е т:</w:t>
      </w:r>
    </w:p>
    <w:p>
      <w:pPr>
        <w:pStyle w:val="Normal"/>
        <w:spacing w:lineRule="auto" w:line="288"/>
        <w:ind w:firstLine="567"/>
        <w:rPr>
          <w:szCs w:val="28"/>
        </w:rPr>
      </w:pPr>
      <w:r>
        <w:rPr>
          <w:szCs w:val="28"/>
        </w:rPr>
        <w:t xml:space="preserve">1. Утвердить прилагаемое </w:t>
      </w:r>
      <w:bookmarkStart w:id="3" w:name="_Hlk192618545"/>
      <w:r>
        <w:rPr>
          <w:szCs w:val="28"/>
        </w:rPr>
        <w:t>Положение об электронной почтовой системе</w:t>
      </w:r>
      <w:bookmarkEnd w:id="3"/>
      <w:r>
        <w:rPr>
          <w:szCs w:val="28"/>
        </w:rPr>
        <w:t>.</w:t>
      </w:r>
    </w:p>
    <w:p>
      <w:pPr>
        <w:pStyle w:val="Normal"/>
        <w:spacing w:lineRule="auto" w:line="288"/>
        <w:ind w:firstLine="567"/>
        <w:rPr>
          <w:szCs w:val="28"/>
        </w:rPr>
      </w:pPr>
      <w:r>
        <w:rPr>
          <w:szCs w:val="28"/>
        </w:rPr>
        <w:t xml:space="preserve">2. Рекомендовать исполнительным органам субъектов Российской Федерации обеспечить информационное взаимодействие региональных порталов государственных и муниципальных услуг с </w:t>
      </w:r>
      <w:r>
        <w:rPr>
          <w:szCs w:val="28"/>
        </w:rPr>
        <w:t>электронной</w:t>
      </w:r>
      <w:r>
        <w:rPr>
          <w:szCs w:val="28"/>
        </w:rPr>
        <w:t xml:space="preserve"> почтовой системой.</w:t>
      </w:r>
    </w:p>
    <w:p>
      <w:pPr>
        <w:pStyle w:val="Normal"/>
        <w:spacing w:lineRule="auto" w:line="288"/>
        <w:ind w:firstLine="567"/>
        <w:rPr>
          <w:szCs w:val="28"/>
        </w:rPr>
      </w:pPr>
      <w:r>
        <w:rPr>
          <w:szCs w:val="28"/>
        </w:rPr>
        <w:t xml:space="preserve">3. Настоящее постановление вступает в силу с 1 марта 2027 года, </w:t>
        <w:br/>
        <w:t xml:space="preserve">за исключением подпункта «б» пункта 8, пунктов 21, 24 и 39 Положения об электронной почтовой системе, утвержденного настоящим постановлением, </w:t>
        <w:br/>
        <w:t>в части использования электронных почтовых ящиков, вступающих в силу с 1 сентября 2027 г.</w:t>
      </w:r>
    </w:p>
    <w:p>
      <w:pPr>
        <w:pStyle w:val="Normal"/>
        <w:spacing w:lineRule="auto" w:line="288"/>
        <w:rPr>
          <w:szCs w:val="28"/>
        </w:rPr>
      </w:pPr>
      <w:r>
        <w:rPr>
          <w:szCs w:val="28"/>
        </w:rPr>
      </w:r>
    </w:p>
    <w:tbl>
      <w:tblPr>
        <w:tblW w:w="5000" w:type="pct"/>
        <w:jc w:val="left"/>
        <w:tblInd w:w="0" w:type="dxa"/>
        <w:tblLayout w:type="fixed"/>
        <w:tblCellMar>
          <w:top w:w="0" w:type="dxa"/>
          <w:left w:w="0" w:type="dxa"/>
          <w:bottom w:w="0" w:type="dxa"/>
          <w:right w:w="0" w:type="dxa"/>
        </w:tblCellMar>
        <w:tblLook w:val="01e0" w:noHBand="0" w:noVBand="0" w:firstColumn="1" w:lastRow="1" w:lastColumn="1" w:firstRow="1"/>
      </w:tblPr>
      <w:tblGrid>
        <w:gridCol w:w="4070"/>
        <w:gridCol w:w="101"/>
        <w:gridCol w:w="1638"/>
        <w:gridCol w:w="2012"/>
        <w:gridCol w:w="1817"/>
      </w:tblGrid>
      <w:tr>
        <w:trPr>
          <w:cantSplit w:val="true"/>
        </w:trPr>
        <w:tc>
          <w:tcPr>
            <w:tcW w:w="4070" w:type="dxa"/>
            <w:tcBorders/>
            <w:vAlign w:val="bottom"/>
          </w:tcPr>
          <w:p>
            <w:pPr>
              <w:pStyle w:val="Normal"/>
              <w:spacing w:lineRule="auto" w:line="312"/>
              <w:ind w:right="964"/>
              <w:jc w:val="center"/>
              <w:rPr>
                <w:szCs w:val="28"/>
              </w:rPr>
            </w:pPr>
            <w:sdt>
              <w:sdtPr>
                <w:placeholder>
                  <w:docPart w:val="8D34D47E84274B90875CD0D698EE0333"/>
                </w:placeholder>
                <w:alias w:val="signer_position"/>
                <w:tag w:val="signer_position"/>
                <w:id w:val="1660338613"/>
                <w:text/>
              </w:sdtPr>
              <w:sdtContent>
                <w:r>
                  <w:rPr>
                    <w:szCs w:val="28"/>
                  </w:rPr>
                </w:r>
                <w:r>
                  <w:rPr>
                    <w:szCs w:val="28"/>
                  </w:rPr>
                  <w:t>Председатель Правительства Российской Федерации</w:t>
                </w:r>
              </w:sdtContent>
            </w:sdt>
          </w:p>
        </w:tc>
        <w:tc>
          <w:tcPr>
            <w:tcW w:w="101" w:type="dxa"/>
            <w:tcBorders/>
            <w:vAlign w:val="bottom"/>
          </w:tcPr>
          <w:p>
            <w:pPr>
              <w:pStyle w:val="Normal"/>
              <w:spacing w:lineRule="auto" w:line="312"/>
              <w:jc w:val="center"/>
              <w:rPr>
                <w:color w:themeColor="background1" w:val="FFFFFF"/>
                <w:sz w:val="14"/>
                <w:szCs w:val="14"/>
              </w:rPr>
            </w:pPr>
            <w:r>
              <w:rPr>
                <w:color w:themeColor="background1" w:val="FFFFFF"/>
                <w:sz w:val="14"/>
                <w:szCs w:val="14"/>
              </w:rPr>
            </w:r>
          </w:p>
        </w:tc>
        <w:tc>
          <w:tcPr>
            <w:tcW w:w="1638" w:type="dxa"/>
            <w:tcBorders/>
          </w:tcPr>
          <w:p>
            <w:pPr>
              <w:pStyle w:val="Normal"/>
              <w:tabs>
                <w:tab w:val="clear" w:pos="709"/>
                <w:tab w:val="center" w:pos="1474" w:leader="none"/>
              </w:tabs>
              <w:spacing w:lineRule="auto" w:line="312"/>
              <w:jc w:val="left"/>
              <w:rPr>
                <w:color w:themeColor="background1" w:val="FFFFFF"/>
                <w:sz w:val="14"/>
                <w:szCs w:val="14"/>
              </w:rPr>
            </w:pPr>
            <w:r>
              <w:rPr>
                <w:color w:themeColor="background1" w:val="FFFFFF"/>
                <w:sz w:val="14"/>
                <w:szCs w:val="14"/>
              </w:rPr>
            </w:r>
          </w:p>
        </w:tc>
        <w:tc>
          <w:tcPr>
            <w:tcW w:w="2012" w:type="dxa"/>
            <w:tcBorders/>
            <w:vAlign w:val="bottom"/>
          </w:tcPr>
          <w:p>
            <w:pPr>
              <w:pStyle w:val="Normal"/>
              <w:tabs>
                <w:tab w:val="clear" w:pos="709"/>
                <w:tab w:val="center" w:pos="1474" w:leader="none"/>
              </w:tabs>
              <w:spacing w:lineRule="auto" w:line="312"/>
              <w:jc w:val="left"/>
              <w:rPr>
                <w:color w:themeColor="background1" w:val="FFFFFF"/>
                <w:sz w:val="14"/>
                <w:szCs w:val="14"/>
              </w:rPr>
            </w:pPr>
            <w:r>
              <w:rPr>
                <w:color w:themeColor="background1" w:val="FFFFFF"/>
                <w:sz w:val="14"/>
                <w:szCs w:val="14"/>
              </w:rPr>
              <w:t>&amp;МЕСТО ЭЛЕКТРОННОЙ ПОДПИСИ&amp;</w:t>
            </w:r>
          </w:p>
          <w:p>
            <w:pPr>
              <w:pStyle w:val="Normal"/>
              <w:tabs>
                <w:tab w:val="clear" w:pos="709"/>
                <w:tab w:val="center" w:pos="1474" w:leader="none"/>
              </w:tabs>
              <w:spacing w:lineRule="auto" w:line="312"/>
              <w:jc w:val="left"/>
              <w:rPr>
                <w:color w:themeColor="background1" w:val="FFFFFF"/>
                <w:sz w:val="14"/>
                <w:szCs w:val="14"/>
              </w:rPr>
            </w:pPr>
            <w:r>
              <w:rPr>
                <w:color w:themeColor="background1" w:val="FFFFFF"/>
                <w:sz w:val="14"/>
                <w:szCs w:val="14"/>
              </w:rPr>
            </w:r>
          </w:p>
          <w:p>
            <w:pPr>
              <w:pStyle w:val="Normal"/>
              <w:tabs>
                <w:tab w:val="clear" w:pos="709"/>
                <w:tab w:val="center" w:pos="1474" w:leader="none"/>
              </w:tabs>
              <w:spacing w:lineRule="auto" w:line="312"/>
              <w:jc w:val="left"/>
              <w:rPr>
                <w:color w:themeColor="background1" w:val="FFFFFF"/>
                <w:sz w:val="14"/>
                <w:szCs w:val="14"/>
              </w:rPr>
            </w:pPr>
            <w:r>
              <w:rPr>
                <w:color w:themeColor="background1" w:val="FFFFFF"/>
                <w:sz w:val="14"/>
                <w:szCs w:val="14"/>
              </w:rPr>
            </w:r>
          </w:p>
          <w:p>
            <w:pPr>
              <w:pStyle w:val="Normal"/>
              <w:tabs>
                <w:tab w:val="clear" w:pos="709"/>
                <w:tab w:val="center" w:pos="1474" w:leader="none"/>
              </w:tabs>
              <w:spacing w:lineRule="auto" w:line="312"/>
              <w:jc w:val="left"/>
              <w:rPr>
                <w:color w:themeColor="background1" w:val="FFFFFF"/>
                <w:sz w:val="14"/>
                <w:szCs w:val="14"/>
              </w:rPr>
            </w:pPr>
            <w:r>
              <w:rPr>
                <w:color w:themeColor="background1" w:val="FFFFFF"/>
                <w:sz w:val="14"/>
                <w:szCs w:val="14"/>
              </w:rPr>
            </w:r>
          </w:p>
          <w:p>
            <w:pPr>
              <w:pStyle w:val="Normal"/>
              <w:tabs>
                <w:tab w:val="clear" w:pos="709"/>
                <w:tab w:val="center" w:pos="1474" w:leader="none"/>
              </w:tabs>
              <w:spacing w:lineRule="auto" w:line="312"/>
              <w:jc w:val="left"/>
              <w:rPr>
                <w:color w:themeColor="background1" w:val="FFFFFF"/>
                <w:sz w:val="14"/>
                <w:szCs w:val="14"/>
              </w:rPr>
            </w:pPr>
            <w:r>
              <w:rPr>
                <w:color w:themeColor="background1" w:val="FFFFFF"/>
                <w:sz w:val="14"/>
                <w:szCs w:val="14"/>
              </w:rPr>
            </w:r>
          </w:p>
          <w:p>
            <w:pPr>
              <w:pStyle w:val="Normal"/>
              <w:tabs>
                <w:tab w:val="clear" w:pos="709"/>
                <w:tab w:val="center" w:pos="1474" w:leader="none"/>
              </w:tabs>
              <w:spacing w:lineRule="auto" w:line="312"/>
              <w:jc w:val="left"/>
              <w:rPr>
                <w:color w:themeColor="background1" w:val="FFFFFF"/>
                <w:sz w:val="14"/>
                <w:szCs w:val="14"/>
              </w:rPr>
            </w:pPr>
            <w:r>
              <w:rPr>
                <w:color w:themeColor="background1" w:val="FFFFFF"/>
                <w:sz w:val="14"/>
                <w:szCs w:val="14"/>
              </w:rPr>
            </w:r>
          </w:p>
        </w:tc>
        <w:tc>
          <w:tcPr>
            <w:tcW w:w="1817" w:type="dxa"/>
            <w:tcBorders/>
            <w:vAlign w:val="bottom"/>
          </w:tcPr>
          <w:p>
            <w:pPr>
              <w:pStyle w:val="Normal"/>
              <w:tabs>
                <w:tab w:val="clear" w:pos="709"/>
                <w:tab w:val="center" w:pos="1474" w:leader="none"/>
              </w:tabs>
              <w:spacing w:lineRule="auto" w:line="312"/>
              <w:jc w:val="right"/>
              <w:rPr>
                <w:szCs w:val="28"/>
              </w:rPr>
            </w:pPr>
            <w:sdt>
              <w:sdtPr>
                <w:placeholder>
                  <w:docPart w:val="8D34D47E84274B90875CD0D698EE0333"/>
                </w:placeholder>
                <w:alias w:val="signer_name"/>
                <w:tag w:val="signer_name"/>
                <w:id w:val="1327248771"/>
                <w:text/>
              </w:sdtPr>
              <w:sdtContent>
                <w:r>
                  <w:rPr>
                    <w:szCs w:val="28"/>
                  </w:rPr>
                </w:r>
                <w:r>
                  <w:rPr>
                    <w:szCs w:val="28"/>
                  </w:rPr>
                  <w:t>М. Мишустин</w:t>
                </w:r>
              </w:sdtContent>
            </w:sdt>
            <w:bookmarkStart w:id="4" w:name="EditableArea"/>
            <w:bookmarkEnd w:id="4"/>
          </w:p>
        </w:tc>
      </w:tr>
    </w:tbl>
    <w:p>
      <w:pPr>
        <w:sectPr>
          <w:headerReference w:type="even" r:id="rId2"/>
          <w:headerReference w:type="default" r:id="rId3"/>
          <w:headerReference w:type="first" r:id="rId4"/>
          <w:type w:val="nextPage"/>
          <w:pgSz w:w="11906" w:h="16838"/>
          <w:pgMar w:left="1134" w:right="1134" w:gutter="0" w:header="709" w:top="1134" w:footer="0" w:bottom="1134"/>
          <w:pgNumType w:fmt="decimal"/>
          <w:formProt w:val="false"/>
          <w:titlePg/>
          <w:textDirection w:val="lrTb"/>
          <w:docGrid w:type="default" w:linePitch="381" w:charSpace="0"/>
        </w:sectPr>
      </w:pPr>
    </w:p>
    <w:p>
      <w:pPr>
        <w:pStyle w:val="Normal"/>
        <w:spacing w:lineRule="auto" w:line="312"/>
        <w:ind w:left="4678"/>
        <w:jc w:val="center"/>
        <w:rPr/>
      </w:pPr>
      <w:r>
        <w:rPr/>
        <w:t>УТВЕРЖДЕНЫ</w:t>
      </w:r>
    </w:p>
    <w:p>
      <w:pPr>
        <w:pStyle w:val="Normal"/>
        <w:spacing w:lineRule="auto" w:line="312"/>
        <w:ind w:left="4678"/>
        <w:jc w:val="center"/>
        <w:rPr/>
      </w:pPr>
      <w:r>
        <w:rPr/>
        <w:t>постановлением Правительства</w:t>
      </w:r>
    </w:p>
    <w:p>
      <w:pPr>
        <w:pStyle w:val="Normal"/>
        <w:spacing w:lineRule="auto" w:line="312"/>
        <w:ind w:left="4678"/>
        <w:jc w:val="center"/>
        <w:rPr/>
      </w:pPr>
      <w:r>
        <w:rPr/>
        <w:t>Российской Федерации</w:t>
      </w:r>
    </w:p>
    <w:p>
      <w:pPr>
        <w:pStyle w:val="Normal"/>
        <w:spacing w:lineRule="auto" w:line="312"/>
        <w:ind w:left="4678"/>
        <w:jc w:val="center"/>
        <w:rPr/>
      </w:pPr>
      <w:r>
        <w:rPr/>
        <w:t>от                        2026 г. №</w:t>
      </w:r>
    </w:p>
    <w:p>
      <w:pPr>
        <w:pStyle w:val="Normal"/>
        <w:spacing w:lineRule="auto" w:line="312"/>
        <w:jc w:val="left"/>
        <w:rPr>
          <w:szCs w:val="28"/>
        </w:rPr>
      </w:pPr>
      <w:r>
        <w:rPr>
          <w:szCs w:val="28"/>
        </w:rPr>
      </w:r>
    </w:p>
    <w:p>
      <w:pPr>
        <w:pStyle w:val="Normal"/>
        <w:spacing w:lineRule="auto" w:line="312"/>
        <w:jc w:val="left"/>
        <w:rPr>
          <w:szCs w:val="28"/>
        </w:rPr>
      </w:pPr>
      <w:r>
        <w:rPr>
          <w:szCs w:val="28"/>
        </w:rPr>
      </w:r>
    </w:p>
    <w:p>
      <w:pPr>
        <w:pStyle w:val="Normal"/>
        <w:suppressAutoHyphens w:val="true"/>
        <w:spacing w:lineRule="auto" w:line="288" w:before="0" w:after="120"/>
        <w:jc w:val="center"/>
        <w:rPr>
          <w:b/>
          <w:szCs w:val="28"/>
        </w:rPr>
      </w:pPr>
      <w:r>
        <w:rPr>
          <w:b/>
          <w:szCs w:val="28"/>
        </w:rPr>
        <w:t>ПОЛОЖЕНИЕ</w:t>
      </w:r>
    </w:p>
    <w:p>
      <w:pPr>
        <w:pStyle w:val="Normal"/>
        <w:suppressAutoHyphens w:val="true"/>
        <w:spacing w:lineRule="auto" w:line="288" w:before="0" w:after="240"/>
        <w:jc w:val="center"/>
        <w:rPr>
          <w:b/>
          <w:szCs w:val="28"/>
        </w:rPr>
      </w:pPr>
      <w:r>
        <w:rPr>
          <w:rFonts w:ascii="Times New Roman CYR" w:hAnsi="Times New Roman CYR"/>
          <w:b/>
          <w:bCs/>
          <w:szCs w:val="28"/>
        </w:rPr>
        <w:t>об электронной почтовой системе</w:t>
      </w:r>
    </w:p>
    <w:p>
      <w:pPr>
        <w:pStyle w:val="Normal"/>
        <w:widowControl w:val="false"/>
        <w:numPr>
          <w:ilvl w:val="0"/>
          <w:numId w:val="0"/>
        </w:numPr>
        <w:spacing w:lineRule="auto" w:line="240"/>
        <w:ind w:hanging="0" w:left="0"/>
        <w:jc w:val="center"/>
        <w:outlineLvl w:val="1"/>
        <w:rPr>
          <w:b/>
          <w:szCs w:val="28"/>
        </w:rPr>
      </w:pPr>
      <w:r>
        <w:rPr>
          <w:b/>
          <w:szCs w:val="28"/>
        </w:rPr>
        <w:t>I. Общие положения</w:t>
      </w:r>
    </w:p>
    <w:p>
      <w:pPr>
        <w:pStyle w:val="Normal"/>
        <w:widowControl w:val="false"/>
        <w:spacing w:lineRule="auto" w:line="240"/>
        <w:jc w:val="center"/>
        <w:rPr>
          <w:szCs w:val="28"/>
        </w:rPr>
      </w:pPr>
      <w:r>
        <w:rPr>
          <w:szCs w:val="28"/>
        </w:rPr>
      </w:r>
    </w:p>
    <w:p>
      <w:pPr>
        <w:pStyle w:val="Normal"/>
        <w:widowControl w:val="false"/>
        <w:spacing w:lineRule="auto" w:line="240"/>
        <w:ind w:firstLine="540"/>
        <w:rPr>
          <w:szCs w:val="28"/>
        </w:rPr>
      </w:pPr>
      <w:r>
        <w:rPr>
          <w:szCs w:val="28"/>
        </w:rPr>
        <w:t>1. Настоящее Положение определяет порядок использования электронной почтовой системы, порядок подключения пользователей к электронной почтовой системе, перечень и полномочия участников электронного взаимодействия, функции и полномочия оператора электронной почтовой системы, порядок и сроки хранения информации в электронной почтовой системе, порядок информационного взаимодействия электронной почтовой системы с федеральной государственной информационной системой «Единый портал государственных и муниципальных услуг (функций)» (далее – Единый портал), региональными порталами государственных и муниципальных услуг и иными информационными системами, осуществляемого с соблюдением требований статьи 16 Федерального закона от 27 июля 2006 г. № 149-ФЗ «Об информации, информационных технологиях и о защите информации», порядок информирования адресатов о поступлении им почтового отправления, получения согласия адресатов на получение почтового отправления в электронной почтовой системе, отказа адресатов от получения заявлений, уведомлений, извещений, требований или иных юридически значимых сообщений (далее – юридически значимые сообщения) на Едином портале и региональных порталах государственных и муниципальных услуг,</w:t>
      </w:r>
      <w:r>
        <w:rPr/>
        <w:t xml:space="preserve"> </w:t>
      </w:r>
      <w:r>
        <w:rPr>
          <w:szCs w:val="28"/>
        </w:rPr>
        <w:t>требования к программно-техническим средствам системы, порядок защиты информации, содержащейся в системе.</w:t>
      </w:r>
    </w:p>
    <w:p>
      <w:pPr>
        <w:pStyle w:val="Normal"/>
        <w:widowControl w:val="false"/>
        <w:spacing w:lineRule="auto" w:line="240"/>
        <w:ind w:firstLine="540"/>
        <w:rPr>
          <w:szCs w:val="28"/>
        </w:rPr>
      </w:pPr>
      <w:r>
        <w:rPr>
          <w:szCs w:val="28"/>
        </w:rPr>
        <w:t>2. Электронная почтовая система (далее – система) создается в целях обеспечение приема и доставки юридически значимых сообщений, а также направления информации о почтовых отправлениях, почтовых переводах денежных средств на единый портал государственных и муниципальных услуг и региональные порталы государственных и муниципальных услуг.</w:t>
      </w:r>
    </w:p>
    <w:p>
      <w:pPr>
        <w:pStyle w:val="Normal"/>
        <w:widowControl w:val="false"/>
        <w:spacing w:lineRule="auto" w:line="240"/>
        <w:ind w:firstLine="539"/>
        <w:rPr>
          <w:szCs w:val="28"/>
        </w:rPr>
      </w:pPr>
      <w:bookmarkStart w:id="5" w:name="P65"/>
      <w:bookmarkEnd w:id="5"/>
      <w:r>
        <w:rPr>
          <w:szCs w:val="28"/>
        </w:rPr>
        <w:t xml:space="preserve">3. Акционерное общество «Почта России» обеспечивает создание, развитие и эксплуатацию системы и является ее оператором (далее – оператор). </w:t>
      </w:r>
    </w:p>
    <w:p>
      <w:pPr>
        <w:pStyle w:val="Normal"/>
        <w:widowControl w:val="false"/>
        <w:spacing w:lineRule="auto" w:line="240"/>
        <w:ind w:firstLine="539"/>
        <w:rPr>
          <w:szCs w:val="28"/>
        </w:rPr>
      </w:pPr>
      <w:r>
        <w:rPr>
          <w:szCs w:val="28"/>
        </w:rPr>
      </w:r>
    </w:p>
    <w:p>
      <w:pPr>
        <w:pStyle w:val="Normal"/>
        <w:widowControl w:val="false"/>
        <w:spacing w:lineRule="auto" w:line="240"/>
        <w:ind w:firstLine="539"/>
        <w:jc w:val="center"/>
        <w:rPr>
          <w:b/>
          <w:bCs/>
          <w:szCs w:val="28"/>
        </w:rPr>
      </w:pPr>
      <w:r>
        <w:rPr>
          <w:b/>
          <w:bCs/>
          <w:szCs w:val="28"/>
          <w:lang w:val="en-US"/>
        </w:rPr>
        <w:t>II</w:t>
      </w:r>
      <w:r>
        <w:rPr>
          <w:b/>
          <w:bCs/>
          <w:szCs w:val="28"/>
        </w:rPr>
        <w:t>.</w:t>
      </w:r>
      <w:r>
        <w:rPr>
          <w:b/>
          <w:bCs/>
        </w:rPr>
        <w:t xml:space="preserve"> </w:t>
      </w:r>
      <w:r>
        <w:rPr>
          <w:b/>
          <w:bCs/>
          <w:szCs w:val="28"/>
        </w:rPr>
        <w:t>Участники электронного взаимодействия и их полномочия</w:t>
      </w:r>
    </w:p>
    <w:p>
      <w:pPr>
        <w:pStyle w:val="Normal"/>
        <w:widowControl w:val="false"/>
        <w:spacing w:lineRule="auto" w:line="240"/>
        <w:ind w:firstLine="539"/>
        <w:rPr>
          <w:sz w:val="24"/>
        </w:rPr>
      </w:pPr>
      <w:r>
        <w:rPr>
          <w:sz w:val="24"/>
        </w:rPr>
      </w:r>
    </w:p>
    <w:p>
      <w:pPr>
        <w:pStyle w:val="Normal"/>
        <w:widowControl w:val="false"/>
        <w:spacing w:lineRule="auto" w:line="240"/>
        <w:ind w:firstLine="539"/>
        <w:rPr>
          <w:szCs w:val="28"/>
        </w:rPr>
      </w:pPr>
      <w:r>
        <w:rPr>
          <w:szCs w:val="28"/>
        </w:rPr>
        <w:t>4. Участниками электронного взаимодействия являются:</w:t>
      </w:r>
    </w:p>
    <w:p>
      <w:pPr>
        <w:pStyle w:val="Normal"/>
        <w:widowControl w:val="false"/>
        <w:spacing w:lineRule="auto" w:line="240"/>
        <w:ind w:firstLine="539"/>
        <w:rPr>
          <w:szCs w:val="28"/>
        </w:rPr>
      </w:pPr>
      <w:r>
        <w:rPr>
          <w:szCs w:val="28"/>
        </w:rPr>
        <w:t>а) оператор;</w:t>
      </w:r>
    </w:p>
    <w:p>
      <w:pPr>
        <w:pStyle w:val="Normal"/>
        <w:widowControl w:val="false"/>
        <w:spacing w:lineRule="auto" w:line="240"/>
        <w:ind w:firstLine="539"/>
        <w:rPr>
          <w:szCs w:val="28"/>
        </w:rPr>
      </w:pPr>
      <w:r>
        <w:rPr>
          <w:szCs w:val="28"/>
        </w:rPr>
        <w:t>б) организации федеральной почтовой связи;</w:t>
      </w:r>
    </w:p>
    <w:p>
      <w:pPr>
        <w:pStyle w:val="Normal"/>
        <w:widowControl w:val="false"/>
        <w:spacing w:lineRule="auto" w:line="240"/>
        <w:ind w:firstLine="539"/>
        <w:rPr>
          <w:szCs w:val="28"/>
        </w:rPr>
      </w:pPr>
      <w:r>
        <w:rPr>
          <w:szCs w:val="28"/>
        </w:rPr>
        <w:t>в) оператор Единого портала;</w:t>
      </w:r>
    </w:p>
    <w:p>
      <w:pPr>
        <w:pStyle w:val="Normal"/>
        <w:widowControl w:val="false"/>
        <w:spacing w:lineRule="auto" w:line="240"/>
        <w:ind w:firstLine="539"/>
        <w:rPr>
          <w:szCs w:val="28"/>
        </w:rPr>
      </w:pPr>
      <w:r>
        <w:rPr>
          <w:szCs w:val="28"/>
        </w:rPr>
        <w:t>г) пользователи системы, указанные в пункте 11 настоящего Положения;</w:t>
      </w:r>
    </w:p>
    <w:p>
      <w:pPr>
        <w:pStyle w:val="Normal"/>
        <w:widowControl w:val="false"/>
        <w:spacing w:lineRule="auto" w:line="240"/>
        <w:ind w:firstLine="539"/>
        <w:rPr>
          <w:szCs w:val="28"/>
        </w:rPr>
      </w:pPr>
      <w:r>
        <w:rPr>
          <w:szCs w:val="28"/>
        </w:rPr>
        <w:t>д) операторы региональных порталов государственных и муниципальных услуг.</w:t>
      </w:r>
    </w:p>
    <w:p>
      <w:pPr>
        <w:pStyle w:val="Normal"/>
        <w:widowControl w:val="false"/>
        <w:spacing w:lineRule="auto" w:line="240"/>
        <w:ind w:firstLine="539"/>
        <w:rPr>
          <w:szCs w:val="28"/>
        </w:rPr>
      </w:pPr>
      <w:r>
        <w:rPr>
          <w:szCs w:val="28"/>
        </w:rPr>
        <w:t>5. Оператор обеспечивает:</w:t>
      </w:r>
    </w:p>
    <w:p>
      <w:pPr>
        <w:pStyle w:val="Normal"/>
        <w:widowControl w:val="false"/>
        <w:spacing w:lineRule="auto" w:line="240"/>
        <w:ind w:firstLine="539"/>
        <w:rPr>
          <w:szCs w:val="28"/>
        </w:rPr>
      </w:pPr>
      <w:r>
        <w:rPr>
          <w:szCs w:val="28"/>
        </w:rPr>
        <w:t>а) создание, развитие и эксплуатацию системы, включая поддержание работоспособности программных и технических средств системы;</w:t>
      </w:r>
    </w:p>
    <w:p>
      <w:pPr>
        <w:pStyle w:val="Normal"/>
        <w:widowControl w:val="false"/>
        <w:spacing w:lineRule="auto" w:line="240"/>
        <w:ind w:firstLine="540"/>
        <w:rPr>
          <w:szCs w:val="28"/>
        </w:rPr>
      </w:pPr>
      <w:r>
        <w:rPr>
          <w:szCs w:val="28"/>
        </w:rPr>
        <w:t>б) прием, обработку и хранение сведений, представляемых в систему участниками электронного взаимодействия;</w:t>
      </w:r>
    </w:p>
    <w:p>
      <w:pPr>
        <w:pStyle w:val="Normal"/>
        <w:widowControl w:val="false"/>
        <w:spacing w:lineRule="auto" w:line="240"/>
        <w:ind w:firstLine="540"/>
        <w:rPr>
          <w:szCs w:val="28"/>
        </w:rPr>
      </w:pPr>
      <w:r>
        <w:rPr>
          <w:szCs w:val="28"/>
        </w:rPr>
        <w:t>в) целостность и доступность сведений, содержащихся в системе, для участников информационного взаимодействия;</w:t>
      </w:r>
    </w:p>
    <w:p>
      <w:pPr>
        <w:pStyle w:val="Normal"/>
        <w:widowControl w:val="false"/>
        <w:spacing w:lineRule="auto" w:line="240"/>
        <w:ind w:firstLine="540"/>
        <w:rPr>
          <w:szCs w:val="28"/>
        </w:rPr>
      </w:pPr>
      <w:r>
        <w:rPr>
          <w:szCs w:val="28"/>
        </w:rPr>
        <w:t>г) защиту сведений, создаваемых и обрабатываемых в рамках функционирования системы, в соответствии с требованиями законодательства Российской Федерации об информации, информационных технологиях и о защите информации;</w:t>
      </w:r>
    </w:p>
    <w:p>
      <w:pPr>
        <w:pStyle w:val="Normal"/>
        <w:widowControl w:val="false"/>
        <w:spacing w:lineRule="auto" w:line="240"/>
        <w:ind w:firstLine="540"/>
        <w:rPr>
          <w:szCs w:val="28"/>
        </w:rPr>
      </w:pPr>
      <w:r>
        <w:rPr>
          <w:szCs w:val="28"/>
        </w:rPr>
        <w:t>д) управление доступом к системе участников информационного взаимодействия;</w:t>
      </w:r>
    </w:p>
    <w:p>
      <w:pPr>
        <w:pStyle w:val="Normal"/>
        <w:widowControl w:val="false"/>
        <w:spacing w:lineRule="auto" w:line="240"/>
        <w:ind w:firstLine="540"/>
        <w:rPr>
          <w:szCs w:val="28"/>
        </w:rPr>
      </w:pPr>
      <w:r>
        <w:rPr>
          <w:szCs w:val="28"/>
        </w:rPr>
        <w:t xml:space="preserve">е) подключение пользователей системы к системе и предоставление доступа пользователям системы к сведениям, содержащимся в системе, </w:t>
      </w:r>
      <w:r>
        <w:rPr>
          <w:szCs w:val="28"/>
        </w:rPr>
        <w:t xml:space="preserve">в том числе </w:t>
      </w:r>
      <w:r>
        <w:rPr>
          <w:szCs w:val="28"/>
        </w:rPr>
        <w:t>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за исключением сведений, доступ к которым ограничен в соответствии с законодательством Российской Федерации;</w:t>
      </w:r>
    </w:p>
    <w:p>
      <w:pPr>
        <w:pStyle w:val="Normal"/>
        <w:widowControl w:val="false"/>
        <w:spacing w:lineRule="auto" w:line="240"/>
        <w:ind w:firstLine="540"/>
        <w:rPr>
          <w:szCs w:val="28"/>
        </w:rPr>
      </w:pPr>
      <w:r>
        <w:rPr>
          <w:szCs w:val="28"/>
        </w:rPr>
        <w:t xml:space="preserve">ж) взаимодействие системы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w:t>
        <w:br/>
        <w:t xml:space="preserve">и муниципальных услуг и исполнения государственных и муниципальных функций в электронной форме (далее – инфраструктура взаимодействия), </w:t>
        <w:br/>
        <w:t xml:space="preserve">и использование элементов инфраструктуры взаимодействия; </w:t>
      </w:r>
    </w:p>
    <w:p>
      <w:pPr>
        <w:pStyle w:val="Normal"/>
        <w:widowControl w:val="false"/>
        <w:spacing w:lineRule="auto" w:line="240"/>
        <w:ind w:firstLine="540"/>
        <w:rPr>
          <w:szCs w:val="28"/>
        </w:rPr>
      </w:pPr>
      <w:r>
        <w:rPr>
          <w:szCs w:val="28"/>
        </w:rPr>
        <w:t>з) информирование пользователей системы об условиях и порядке использования системы в целях направления юридически значимых сообщений, в том числе о случаях направления таких сообщений за плату и о размере такой платы, установленной в соответствии с частью седьмой статьи 32</w:t>
      </w:r>
      <w:r>
        <w:rPr>
          <w:szCs w:val="28"/>
          <w:vertAlign w:val="superscript"/>
        </w:rPr>
        <w:t>1</w:t>
      </w:r>
      <w:r>
        <w:rPr>
          <w:szCs w:val="28"/>
        </w:rPr>
        <w:t xml:space="preserve"> Федерального закона от 26 июля 2026 г. № 271-ФЗ «О почтовой связи», в целях направления юридически значимых сообщений, категории которых установлены в приложении к настоящему Положению;</w:t>
      </w:r>
    </w:p>
    <w:p>
      <w:pPr>
        <w:pStyle w:val="Normal"/>
        <w:widowControl w:val="false"/>
        <w:spacing w:lineRule="auto" w:line="240"/>
        <w:ind w:firstLine="540"/>
        <w:rPr>
          <w:szCs w:val="28"/>
        </w:rPr>
      </w:pPr>
      <w:r>
        <w:rPr>
          <w:szCs w:val="28"/>
        </w:rPr>
        <w:t xml:space="preserve">и) возможность поиска адресатов в системе, </w:t>
      </w:r>
      <w:bookmarkStart w:id="6" w:name="_Hlk241862659"/>
      <w:r>
        <w:rPr>
          <w:szCs w:val="28"/>
        </w:rPr>
        <w:t>в том числе посредством интеграции системы с Единым порталом через единую систему межведомственного электронного взаимодействия;</w:t>
      </w:r>
      <w:bookmarkEnd w:id="6"/>
    </w:p>
    <w:p>
      <w:pPr>
        <w:pStyle w:val="Normal"/>
        <w:widowControl w:val="false"/>
        <w:spacing w:lineRule="auto" w:line="240"/>
        <w:ind w:firstLine="540"/>
        <w:rPr>
          <w:szCs w:val="28"/>
        </w:rPr>
      </w:pPr>
      <w:r>
        <w:rPr>
          <w:szCs w:val="28"/>
        </w:rPr>
        <w:t xml:space="preserve">к) прием и направление на Единый портал юридически значимых сообщений, направляемых пользователями системы; </w:t>
      </w:r>
    </w:p>
    <w:p>
      <w:pPr>
        <w:pStyle w:val="Normal"/>
        <w:widowControl w:val="false"/>
        <w:spacing w:lineRule="auto" w:line="240"/>
        <w:ind w:firstLine="540"/>
        <w:rPr>
          <w:szCs w:val="28"/>
        </w:rPr>
      </w:pPr>
      <w:r>
        <w:rPr>
          <w:szCs w:val="28"/>
        </w:rPr>
        <w:t>л) передачу адресату на Единый портал информации о почтовых отправлениях, почтовых переводах в срок не позднее дня, следующего за днем поступления указанной информации в систему;</w:t>
      </w:r>
    </w:p>
    <w:p>
      <w:pPr>
        <w:pStyle w:val="Normal"/>
        <w:widowControl w:val="false"/>
        <w:spacing w:lineRule="auto" w:line="240"/>
        <w:ind w:firstLine="540"/>
        <w:rPr>
          <w:szCs w:val="28"/>
        </w:rPr>
      </w:pPr>
      <w:r>
        <w:rPr>
          <w:szCs w:val="28"/>
        </w:rPr>
        <w:t>м) возможность использования системы в целях обеспечения приема и доставки юридически значимых сообщений, направляемых в форме почтовых отправлений в соответствии с правилами оказания услуг почтовой связи;</w:t>
      </w:r>
    </w:p>
    <w:p>
      <w:pPr>
        <w:pStyle w:val="Normal"/>
        <w:widowControl w:val="false"/>
        <w:spacing w:lineRule="auto" w:line="240"/>
        <w:ind w:firstLine="540"/>
        <w:rPr>
          <w:szCs w:val="28"/>
        </w:rPr>
      </w:pPr>
      <w:r>
        <w:rPr>
          <w:szCs w:val="28"/>
        </w:rPr>
        <w:t xml:space="preserve">н) получение от оператора Единого портала, операторов региональных порталов государственных и муниципальных услуг сведений об отказе адресатов от получения юридически значимых сообщений соответственно на Едином портале, региональном портале государственных и муниципальных услуг;  </w:t>
      </w:r>
    </w:p>
    <w:p>
      <w:pPr>
        <w:pStyle w:val="Normal"/>
        <w:widowControl w:val="false"/>
        <w:spacing w:lineRule="auto" w:line="240"/>
        <w:ind w:firstLine="540"/>
        <w:rPr>
          <w:szCs w:val="28"/>
        </w:rPr>
      </w:pPr>
      <w:r>
        <w:rPr>
          <w:szCs w:val="28"/>
        </w:rPr>
        <w:t>о) возможность внесения пользователями системы платы за направление юридически значимых сообщений;</w:t>
      </w:r>
    </w:p>
    <w:p>
      <w:pPr>
        <w:pStyle w:val="Normal"/>
        <w:widowControl w:val="false"/>
        <w:spacing w:lineRule="auto" w:line="240"/>
        <w:ind w:firstLine="540"/>
        <w:rPr>
          <w:szCs w:val="28"/>
        </w:rPr>
      </w:pPr>
      <w:r>
        <w:rPr>
          <w:szCs w:val="28"/>
        </w:rPr>
        <w:t>п) методическую поддержку участников информационного взаимодействия по вопросам использования Системы.</w:t>
      </w:r>
    </w:p>
    <w:p>
      <w:pPr>
        <w:pStyle w:val="Normal"/>
        <w:widowControl w:val="false"/>
        <w:spacing w:lineRule="auto" w:line="240"/>
        <w:ind w:firstLine="539"/>
        <w:rPr>
          <w:szCs w:val="28"/>
        </w:rPr>
      </w:pPr>
      <w:r>
        <w:rPr>
          <w:szCs w:val="28"/>
        </w:rPr>
        <w:t xml:space="preserve">6. Оператор осуществляет обработку персональных данных пользователей системы с соблюдением требований, установленных законодательством Российской Федерации в области персональных данных. </w:t>
      </w:r>
    </w:p>
    <w:p>
      <w:pPr>
        <w:pStyle w:val="Normal"/>
        <w:widowControl w:val="false"/>
        <w:spacing w:lineRule="auto" w:line="240"/>
        <w:ind w:firstLine="539"/>
        <w:rPr>
          <w:szCs w:val="28"/>
        </w:rPr>
      </w:pPr>
      <w:r>
        <w:rPr>
          <w:szCs w:val="28"/>
        </w:rPr>
        <w:t xml:space="preserve">7. Оператор осуществляет правомочия обладателя содержащейся в системе информации, если иное не предусмотрено федеральными законами.  </w:t>
      </w:r>
    </w:p>
    <w:p>
      <w:pPr>
        <w:pStyle w:val="Normal"/>
        <w:widowControl w:val="false"/>
        <w:spacing w:lineRule="auto" w:line="240"/>
        <w:ind w:firstLine="539"/>
        <w:rPr>
          <w:szCs w:val="28"/>
        </w:rPr>
      </w:pPr>
      <w:r>
        <w:rPr>
          <w:szCs w:val="28"/>
        </w:rPr>
        <w:t>8. Оператор Единого портала обеспечивает:</w:t>
      </w:r>
    </w:p>
    <w:p>
      <w:pPr>
        <w:pStyle w:val="Normal"/>
        <w:widowControl w:val="false"/>
        <w:spacing w:lineRule="auto" w:line="240"/>
        <w:ind w:firstLine="539"/>
        <w:rPr>
          <w:szCs w:val="28"/>
        </w:rPr>
      </w:pPr>
      <w:r>
        <w:rPr>
          <w:szCs w:val="28"/>
        </w:rPr>
        <w:t>а) прием на Едином портале направляемой из системы информации о почтовых отправлениях, почтовых денежных переводах;</w:t>
      </w:r>
    </w:p>
    <w:p>
      <w:pPr>
        <w:pStyle w:val="Normal"/>
        <w:widowControl w:val="false"/>
        <w:spacing w:lineRule="auto" w:line="240"/>
        <w:ind w:firstLine="539"/>
        <w:rPr>
          <w:szCs w:val="28"/>
        </w:rPr>
      </w:pPr>
      <w:r>
        <w:rPr>
          <w:szCs w:val="28"/>
        </w:rPr>
        <w:t>б) функционирование сервиса на Едином портале, обеспечивающего возможность обмена посредством системы юридически значимыми сообщениями, а также иными документами и сообщениями (далее – электронный почтовый ящик)</w:t>
      </w:r>
      <w:r>
        <w:rPr/>
        <w:t xml:space="preserve"> </w:t>
      </w:r>
      <w:r>
        <w:rPr>
          <w:szCs w:val="28"/>
        </w:rPr>
        <w:t>юридических лиц, физических лиц, в том числе индивидуальных предпринимателей, зарегистрированных в единой системе идентификации и аутентификации;</w:t>
      </w:r>
    </w:p>
    <w:p>
      <w:pPr>
        <w:pStyle w:val="Normal"/>
        <w:widowControl w:val="false"/>
        <w:spacing w:lineRule="auto" w:line="240"/>
        <w:ind w:firstLine="539"/>
        <w:rPr>
          <w:szCs w:val="28"/>
        </w:rPr>
      </w:pPr>
      <w:r>
        <w:rPr>
          <w:szCs w:val="28"/>
        </w:rPr>
        <w:t xml:space="preserve">в) передачу оператору сведений о согласии адресатов на получение почтового отправления, об отказе адресатов от получения юридически значимых сообщений </w:t>
      </w:r>
      <w:bookmarkStart w:id="7" w:name="_Hlk238569208"/>
      <w:r>
        <w:rPr>
          <w:szCs w:val="28"/>
        </w:rPr>
        <w:t>на Едином портале</w:t>
      </w:r>
      <w:bookmarkEnd w:id="7"/>
      <w:r>
        <w:rPr>
          <w:szCs w:val="28"/>
        </w:rPr>
        <w:t xml:space="preserve">, выраженных в порядке, установленном разделом </w:t>
      </w:r>
      <w:r>
        <w:rPr>
          <w:szCs w:val="28"/>
          <w:lang w:val="en-US"/>
        </w:rPr>
        <w:t>VI</w:t>
      </w:r>
      <w:r>
        <w:rPr>
          <w:szCs w:val="28"/>
        </w:rPr>
        <w:t xml:space="preserve"> настоящего Положения. </w:t>
      </w:r>
    </w:p>
    <w:p>
      <w:pPr>
        <w:pStyle w:val="Normal"/>
        <w:widowControl w:val="false"/>
        <w:spacing w:lineRule="auto" w:line="240" w:before="240" w:after="0"/>
        <w:ind w:firstLine="540"/>
        <w:rPr>
          <w:szCs w:val="28"/>
        </w:rPr>
      </w:pPr>
      <w:r>
        <w:rPr>
          <w:szCs w:val="28"/>
        </w:rPr>
        <w:t>9. Организации федеральной почтовой связи вправе использовать систему в целях обеспечения приема и доставки юридически значимых сообщений с соблюдением правил оказания услуг почтовой связи и иных нормативных правовых актов, предусматривающих использование системы организациями федеральной почтовой связи, в том числе в случае участия организаций федеральной почтовой связи в предоставлении государственных и муниципальных услуг в соответствии с Федеральным законом «Об организации предоставления государственных и муниципальных услуг».</w:t>
      </w:r>
    </w:p>
    <w:p>
      <w:pPr>
        <w:pStyle w:val="Normal"/>
        <w:widowControl w:val="false"/>
        <w:spacing w:lineRule="auto" w:line="240"/>
        <w:ind w:firstLine="539"/>
        <w:rPr>
          <w:szCs w:val="28"/>
        </w:rPr>
      </w:pPr>
      <w:r>
        <w:rPr>
          <w:szCs w:val="28"/>
        </w:rPr>
        <w:t>10. Операторы региональных порталов государственных и муниципальных услуг, обеспечившие</w:t>
      </w:r>
      <w:r>
        <w:rPr/>
        <w:t xml:space="preserve"> </w:t>
      </w:r>
      <w:r>
        <w:rPr>
          <w:szCs w:val="28"/>
        </w:rPr>
        <w:t xml:space="preserve">техническую возможность приема на региональном портале государственных и муниципальных услуг направляемой из системы информации о почтовых отправлениях, почтовых денежных переводах, осуществляют передачу оператору сведений об отказе адресатов от получения юридически значимых сообщений, выраженных в порядке, установленном разделом </w:t>
      </w:r>
      <w:r>
        <w:rPr>
          <w:szCs w:val="28"/>
          <w:lang w:val="en-US"/>
        </w:rPr>
        <w:t>VI</w:t>
      </w:r>
      <w:r>
        <w:rPr>
          <w:szCs w:val="28"/>
        </w:rPr>
        <w:t xml:space="preserve"> настоящего постановления.</w:t>
      </w:r>
    </w:p>
    <w:p>
      <w:pPr>
        <w:pStyle w:val="Normal"/>
        <w:widowControl w:val="false"/>
        <w:spacing w:lineRule="auto" w:line="240"/>
        <w:ind w:firstLine="539"/>
        <w:rPr>
          <w:szCs w:val="28"/>
        </w:rPr>
      </w:pPr>
      <w:r>
        <w:rPr>
          <w:szCs w:val="28"/>
        </w:rPr>
        <w:t>11. Пользователи системы:</w:t>
      </w:r>
    </w:p>
    <w:p>
      <w:pPr>
        <w:pStyle w:val="Normal"/>
        <w:widowControl w:val="false"/>
        <w:spacing w:lineRule="auto" w:line="240"/>
        <w:ind w:firstLine="539"/>
        <w:rPr>
          <w:szCs w:val="28"/>
        </w:rPr>
      </w:pPr>
      <w:r>
        <w:rPr>
          <w:szCs w:val="28"/>
        </w:rPr>
        <w:t>а) органы государственной власти Российской Федерации, органы государственной власти субъектов Российской Федерации, органы местного самоуправления, юридические лица, наделенные отдельными государственными или иными публичными полномочиями, Центральный банк Российской Федерации, государственные компании, государственные корпорации, иные юридические лица, доля участия Российской Федерации в уставном капитале которых составляет более 50 процентов;</w:t>
      </w:r>
    </w:p>
    <w:p>
      <w:pPr>
        <w:pStyle w:val="Normal"/>
        <w:widowControl w:val="false"/>
        <w:spacing w:lineRule="auto" w:line="240"/>
        <w:ind w:firstLine="539"/>
        <w:rPr>
          <w:szCs w:val="28"/>
        </w:rPr>
      </w:pPr>
      <w:r>
        <w:rPr>
          <w:szCs w:val="28"/>
        </w:rPr>
        <w:t>б) иные юридические лица, физические лица, в том числе индивидуальные предприниматели.</w:t>
      </w:r>
    </w:p>
    <w:p>
      <w:pPr>
        <w:pStyle w:val="Normal"/>
        <w:widowControl w:val="false"/>
        <w:spacing w:lineRule="auto" w:line="240"/>
        <w:ind w:firstLine="539"/>
        <w:rPr>
          <w:szCs w:val="28"/>
        </w:rPr>
      </w:pPr>
      <w:r>
        <w:rPr>
          <w:szCs w:val="28"/>
        </w:rPr>
        <w:t xml:space="preserve">12. Пользователи системы осуществляют использование системы в случаях и порядке, предусмотренном разделом </w:t>
      </w:r>
      <w:r>
        <w:rPr>
          <w:szCs w:val="28"/>
          <w:lang w:val="en-US"/>
        </w:rPr>
        <w:t>IV</w:t>
      </w:r>
      <w:r>
        <w:rPr>
          <w:szCs w:val="28"/>
        </w:rPr>
        <w:t xml:space="preserve"> настоящего Положения.</w:t>
      </w:r>
    </w:p>
    <w:p>
      <w:pPr>
        <w:pStyle w:val="Normal"/>
        <w:widowControl w:val="false"/>
        <w:spacing w:lineRule="auto" w:line="240" w:before="240" w:after="0"/>
        <w:ind w:firstLine="540"/>
        <w:rPr>
          <w:szCs w:val="28"/>
        </w:rPr>
      </w:pPr>
      <w:r>
        <w:rPr>
          <w:szCs w:val="28"/>
        </w:rPr>
      </w:r>
    </w:p>
    <w:p>
      <w:pPr>
        <w:pStyle w:val="Normal"/>
        <w:widowControl w:val="false"/>
        <w:spacing w:lineRule="auto" w:line="240"/>
        <w:ind w:firstLine="540"/>
        <w:jc w:val="center"/>
        <w:rPr>
          <w:b/>
          <w:bCs/>
          <w:szCs w:val="28"/>
        </w:rPr>
      </w:pPr>
      <w:r>
        <w:rPr>
          <w:b/>
          <w:bCs/>
          <w:szCs w:val="28"/>
        </w:rPr>
        <w:t>I</w:t>
      </w:r>
      <w:r>
        <w:rPr>
          <w:b/>
          <w:bCs/>
          <w:szCs w:val="28"/>
          <w:lang w:val="en-US"/>
        </w:rPr>
        <w:t>II</w:t>
      </w:r>
      <w:r>
        <w:rPr>
          <w:b/>
          <w:bCs/>
          <w:szCs w:val="28"/>
        </w:rPr>
        <w:t>. Порядок информационного взаимодействия системы с иными информационными системами</w:t>
      </w:r>
    </w:p>
    <w:p>
      <w:pPr>
        <w:pStyle w:val="Normal"/>
        <w:widowControl w:val="false"/>
        <w:spacing w:lineRule="auto" w:line="240"/>
        <w:ind w:firstLine="540"/>
        <w:rPr>
          <w:szCs w:val="28"/>
        </w:rPr>
      </w:pPr>
      <w:r>
        <w:rPr>
          <w:szCs w:val="28"/>
        </w:rPr>
      </w:r>
    </w:p>
    <w:p>
      <w:pPr>
        <w:pStyle w:val="Normal"/>
        <w:widowControl w:val="false"/>
        <w:spacing w:lineRule="auto" w:line="240"/>
        <w:ind w:firstLine="540"/>
        <w:rPr>
          <w:szCs w:val="28"/>
        </w:rPr>
      </w:pPr>
      <w:r>
        <w:rPr>
          <w:szCs w:val="28"/>
        </w:rPr>
        <w:t>13. Оператор обеспечивает информационное взаимодействие Системы с Единым порталом, региональными порталами государственных и муниципальных услуг, и иными информационными системами с соблюдением требований статьи 16 Федерального закона от 27 июля 2006 года № 149-ФЗ «Об информации, информационных технологиях и о защите информации».</w:t>
      </w:r>
    </w:p>
    <w:p>
      <w:pPr>
        <w:pStyle w:val="Normal"/>
        <w:widowControl w:val="false"/>
        <w:spacing w:lineRule="auto" w:line="240"/>
        <w:ind w:firstLine="540"/>
        <w:rPr>
          <w:szCs w:val="28"/>
        </w:rPr>
      </w:pPr>
      <w:r>
        <w:rPr>
          <w:szCs w:val="28"/>
        </w:rPr>
        <w:t xml:space="preserve">14. Информационное взаимодействие системы с Единым порталом и единой системой идентификации и аутентификации осуществляется </w:t>
        <w:br/>
        <w:t>с использованием единой системы межведомственного электронного взаимодействия.</w:t>
      </w:r>
    </w:p>
    <w:p>
      <w:pPr>
        <w:pStyle w:val="Normal"/>
        <w:widowControl w:val="false"/>
        <w:spacing w:lineRule="auto" w:line="240"/>
        <w:ind w:firstLine="540"/>
        <w:rPr>
          <w:szCs w:val="28"/>
        </w:rPr>
      </w:pPr>
      <w:r>
        <w:rPr>
          <w:szCs w:val="28"/>
        </w:rPr>
        <w:t>15. Информационное взаимодействие с региональными порталами государственных и муниципальных услуг осуществляется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pPr>
        <w:pStyle w:val="Normal"/>
        <w:widowControl w:val="false"/>
        <w:spacing w:lineRule="auto" w:line="240"/>
        <w:ind w:firstLine="540"/>
        <w:rPr>
          <w:szCs w:val="28"/>
        </w:rPr>
      </w:pPr>
      <w:r>
        <w:rPr>
          <w:szCs w:val="28"/>
        </w:rPr>
        <w:t>16. Информационное взаимодействие с иными государственными информационными системами осуществляется в соответствии с законодательством Российской Федерации с использованием</w:t>
      </w:r>
      <w:r>
        <w:rPr/>
        <w:t xml:space="preserve"> </w:t>
      </w:r>
      <w:r>
        <w:rPr>
          <w:szCs w:val="28"/>
        </w:rPr>
        <w:t xml:space="preserve">инфраструктуры взаимодействия. </w:t>
      </w:r>
    </w:p>
    <w:p>
      <w:pPr>
        <w:pStyle w:val="Normal"/>
        <w:widowControl w:val="false"/>
        <w:spacing w:lineRule="auto" w:line="240"/>
        <w:ind w:firstLine="540"/>
        <w:rPr>
          <w:szCs w:val="28"/>
        </w:rPr>
      </w:pPr>
      <w:r>
        <w:rPr>
          <w:szCs w:val="28"/>
        </w:rPr>
        <w:t>17. Информационное взаимодействие с иными информационными системами, не являющими государственными информационными системами, осуществляется на основании соглашений, заключаемых оператором с операторами таких информационных систем, посредством использования программно-технических средств таких систем, и при условии соблюдения Правил присоединения информационных систем организаций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утвержденных постановлением Правительства Российской Федерации от 22 декабря 2012 г. № 1382 «О присоединении информационных систем организаций к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pPr>
        <w:pStyle w:val="Normal"/>
        <w:widowControl w:val="false"/>
        <w:spacing w:lineRule="auto" w:line="240"/>
        <w:ind w:firstLine="540"/>
        <w:rPr>
          <w:szCs w:val="28"/>
        </w:rPr>
      </w:pPr>
      <w:r>
        <w:rPr>
          <w:szCs w:val="28"/>
        </w:rPr>
      </w:r>
    </w:p>
    <w:p>
      <w:pPr>
        <w:pStyle w:val="Normal"/>
        <w:widowControl w:val="false"/>
        <w:spacing w:lineRule="auto" w:line="240"/>
        <w:ind w:firstLine="540"/>
        <w:jc w:val="center"/>
        <w:rPr>
          <w:b/>
          <w:bCs/>
          <w:szCs w:val="28"/>
        </w:rPr>
      </w:pPr>
      <w:r>
        <w:rPr>
          <w:b/>
          <w:bCs/>
          <w:szCs w:val="28"/>
        </w:rPr>
        <w:t>IV. Порядок использования Системы.</w:t>
      </w:r>
    </w:p>
    <w:p>
      <w:pPr>
        <w:pStyle w:val="Normal"/>
        <w:widowControl w:val="false"/>
        <w:spacing w:lineRule="auto" w:line="240"/>
        <w:ind w:firstLine="540"/>
        <w:rPr>
          <w:szCs w:val="28"/>
        </w:rPr>
      </w:pPr>
      <w:r>
        <w:rPr>
          <w:szCs w:val="28"/>
        </w:rPr>
      </w:r>
    </w:p>
    <w:p>
      <w:pPr>
        <w:pStyle w:val="Normal"/>
        <w:widowControl w:val="false"/>
        <w:spacing w:lineRule="auto" w:line="240"/>
        <w:ind w:firstLine="540"/>
        <w:rPr>
          <w:szCs w:val="28"/>
        </w:rPr>
      </w:pPr>
      <w:r>
        <w:rPr>
          <w:szCs w:val="28"/>
        </w:rPr>
        <w:t xml:space="preserve">18. В целях обеспечения использования системы оператор осуществляет подключение пользователей системы к системе путем </w:t>
        <w:br/>
        <w:t>их аутентификации, в том числе, с использованием единой системы идентификации и аутентификации.</w:t>
      </w:r>
    </w:p>
    <w:p>
      <w:pPr>
        <w:pStyle w:val="Normal"/>
        <w:widowControl w:val="false"/>
        <w:spacing w:lineRule="auto" w:line="240"/>
        <w:ind w:firstLine="540"/>
        <w:rPr>
          <w:szCs w:val="28"/>
        </w:rPr>
      </w:pPr>
      <w:r>
        <w:rPr>
          <w:szCs w:val="28"/>
        </w:rPr>
        <w:t>19. Доступ к сведениям, содержащимся в системе, за исключением сведений, доступ к которым ограничен законодательством Российской Федерации, обеспечивается оператором следующими способами:</w:t>
      </w:r>
    </w:p>
    <w:p>
      <w:pPr>
        <w:pStyle w:val="Normal"/>
        <w:widowControl w:val="false"/>
        <w:spacing w:lineRule="auto" w:line="240"/>
        <w:ind w:firstLine="540"/>
        <w:rPr>
          <w:szCs w:val="28"/>
        </w:rPr>
      </w:pPr>
      <w:r>
        <w:rPr>
          <w:szCs w:val="28"/>
        </w:rPr>
        <w:t>а) с использованием единой системы идентификации и аутентификации;</w:t>
      </w:r>
    </w:p>
    <w:p>
      <w:pPr>
        <w:pStyle w:val="Normal"/>
        <w:widowControl w:val="false"/>
        <w:spacing w:lineRule="auto" w:line="240"/>
        <w:ind w:firstLine="540"/>
        <w:rPr>
          <w:szCs w:val="28"/>
        </w:rPr>
      </w:pPr>
      <w:r>
        <w:rPr>
          <w:szCs w:val="28"/>
        </w:rPr>
        <w:t xml:space="preserve">б) с использованием единой системы межведомственного электронного взаимодействия; </w:t>
      </w:r>
    </w:p>
    <w:p>
      <w:pPr>
        <w:pStyle w:val="Normal"/>
        <w:widowControl w:val="false"/>
        <w:spacing w:lineRule="auto" w:line="240"/>
        <w:ind w:firstLine="540"/>
        <w:rPr>
          <w:szCs w:val="28"/>
        </w:rPr>
      </w:pPr>
      <w:r>
        <w:rPr>
          <w:szCs w:val="28"/>
        </w:rPr>
        <w:t>в) с использованием технологии прикладного программного интерфейса, предназначенной для обеспечения взаимодействия внешних информационных систем с отдельными информационно-технологическими и телекоммуникационными элементами системы.</w:t>
      </w:r>
    </w:p>
    <w:p>
      <w:pPr>
        <w:pStyle w:val="Normal"/>
        <w:widowControl w:val="false"/>
        <w:spacing w:lineRule="auto" w:line="240"/>
        <w:ind w:firstLine="540"/>
        <w:rPr>
          <w:szCs w:val="28"/>
        </w:rPr>
      </w:pPr>
      <w:r>
        <w:rPr>
          <w:szCs w:val="28"/>
        </w:rPr>
        <w:t>г) путем размещения общедоступной информации на официальном сайте оператора в сети «Интернет».</w:t>
      </w:r>
    </w:p>
    <w:p>
      <w:pPr>
        <w:pStyle w:val="Normal"/>
        <w:widowControl w:val="false"/>
        <w:spacing w:lineRule="auto" w:line="240"/>
        <w:ind w:firstLine="540"/>
        <w:rPr>
          <w:szCs w:val="28"/>
        </w:rPr>
      </w:pPr>
      <w:r>
        <w:rPr>
          <w:szCs w:val="28"/>
        </w:rPr>
        <w:t xml:space="preserve">20. Пользователи, указанные в подпункте «а» пункта 11 настоящего Положения, используют систему для направления юридически значимых сообщений в порядке, предусмотренном разделом </w:t>
      </w:r>
      <w:r>
        <w:rPr>
          <w:szCs w:val="28"/>
          <w:lang w:val="en-US"/>
        </w:rPr>
        <w:t>VII</w:t>
      </w:r>
      <w:r>
        <w:rPr>
          <w:szCs w:val="28"/>
        </w:rPr>
        <w:t xml:space="preserve"> настоящего Положения.</w:t>
      </w:r>
    </w:p>
    <w:p>
      <w:pPr>
        <w:pStyle w:val="Normal"/>
        <w:widowControl w:val="false"/>
        <w:spacing w:lineRule="auto" w:line="240"/>
        <w:ind w:firstLine="540"/>
        <w:rPr>
          <w:szCs w:val="28"/>
        </w:rPr>
      </w:pPr>
      <w:r>
        <w:rPr>
          <w:szCs w:val="28"/>
        </w:rPr>
        <w:t xml:space="preserve">21. Пользователи системы, указанные в подпункте «б» пункта 11 настоящего Положения, используют систему в целях обмена юридически значимыми документами, а также иными документами и сообщениями, </w:t>
        <w:br/>
        <w:t>посредством прямого доступа к системе, а также посредством использования электронного почтового ящика, создаваемого на Едином портале.</w:t>
      </w:r>
    </w:p>
    <w:p>
      <w:pPr>
        <w:pStyle w:val="Normal"/>
        <w:widowControl w:val="false"/>
        <w:spacing w:lineRule="auto" w:line="240"/>
        <w:ind w:firstLine="540"/>
        <w:rPr>
          <w:szCs w:val="28"/>
        </w:rPr>
      </w:pPr>
      <w:r>
        <w:rPr>
          <w:szCs w:val="28"/>
        </w:rPr>
        <w:t>22. В целях обмена юридически значимыми документами, а также иными документами и сообщениями посредством системы пользователями системы, указанными в подпункте «б» пункта 11 настоящего Положения, для направления таких документов и сообщений могут использоваться информационные системы таких пользователей, интегрированные с системой посредством технологии прикладного программного интерфейса, предназначенной для обеспечения взаимодействия внешних информационных систем с отдельными информационно-технологическими и телекоммуникационными элементами системы.</w:t>
      </w:r>
    </w:p>
    <w:p>
      <w:pPr>
        <w:pStyle w:val="Normal"/>
        <w:widowControl w:val="false"/>
        <w:spacing w:lineRule="auto" w:line="240"/>
        <w:ind w:firstLine="540"/>
        <w:rPr>
          <w:szCs w:val="28"/>
        </w:rPr>
      </w:pPr>
      <w:r>
        <w:rPr>
          <w:szCs w:val="28"/>
        </w:rPr>
        <w:t xml:space="preserve">23. Пользователям, указанным в подпункте «б» пункта 11, обеспечивается возможность поиска адресатов в системе. </w:t>
      </w:r>
    </w:p>
    <w:p>
      <w:pPr>
        <w:pStyle w:val="Normal"/>
        <w:widowControl w:val="false"/>
        <w:spacing w:lineRule="auto" w:line="240"/>
        <w:ind w:firstLine="540"/>
        <w:rPr>
          <w:szCs w:val="28"/>
        </w:rPr>
      </w:pPr>
      <w:r>
        <w:rPr>
          <w:szCs w:val="28"/>
        </w:rPr>
        <w:t>24. Оператор одновременно с отображением результатов поиска адресатов в системе обеспечивает отображение информации о возможности направления адресату – физическому лицу юридически значимых сообщений, а также иных документов и сообщений посредством системы с использованием электронного почтового ящика с учетом ограничений, которые такой адресат – физическое лицо вправе установить в соответствии с частью двадцать пятой статьи 32</w:t>
      </w:r>
      <w:r>
        <w:rPr>
          <w:szCs w:val="28"/>
          <w:vertAlign w:val="superscript"/>
        </w:rPr>
        <w:t>1</w:t>
      </w:r>
      <w:r>
        <w:rPr>
          <w:szCs w:val="28"/>
        </w:rPr>
        <w:t xml:space="preserve"> Федерального закона «О почтовой связи». </w:t>
      </w:r>
    </w:p>
    <w:p>
      <w:pPr>
        <w:pStyle w:val="Normal"/>
        <w:widowControl w:val="false"/>
        <w:spacing w:lineRule="auto" w:line="240"/>
        <w:ind w:firstLine="540"/>
        <w:rPr>
          <w:szCs w:val="28"/>
        </w:rPr>
      </w:pPr>
      <w:r>
        <w:rPr>
          <w:szCs w:val="28"/>
        </w:rPr>
      </w:r>
    </w:p>
    <w:p>
      <w:pPr>
        <w:pStyle w:val="Normal"/>
        <w:widowControl w:val="false"/>
        <w:spacing w:lineRule="auto" w:line="240"/>
        <w:ind w:firstLine="540"/>
        <w:jc w:val="center"/>
        <w:rPr>
          <w:b/>
          <w:bCs/>
          <w:szCs w:val="28"/>
        </w:rPr>
      </w:pPr>
      <w:r>
        <w:rPr>
          <w:b/>
          <w:bCs/>
          <w:szCs w:val="28"/>
        </w:rPr>
        <w:t>V. Порядок информирования адресатов о поступлении им почтового отправления</w:t>
      </w:r>
    </w:p>
    <w:p>
      <w:pPr>
        <w:pStyle w:val="Normal"/>
        <w:widowControl w:val="false"/>
        <w:spacing w:lineRule="auto" w:line="240"/>
        <w:ind w:firstLine="540"/>
        <w:jc w:val="center"/>
        <w:rPr>
          <w:b/>
          <w:bCs/>
          <w:szCs w:val="28"/>
        </w:rPr>
      </w:pPr>
      <w:r>
        <w:rPr>
          <w:b/>
          <w:bCs/>
          <w:szCs w:val="28"/>
        </w:rPr>
      </w:r>
    </w:p>
    <w:p>
      <w:pPr>
        <w:pStyle w:val="Normal"/>
        <w:widowControl w:val="false"/>
        <w:spacing w:lineRule="auto" w:line="240"/>
        <w:ind w:firstLine="540"/>
        <w:rPr>
          <w:szCs w:val="28"/>
        </w:rPr>
      </w:pPr>
      <w:r>
        <w:rPr>
          <w:szCs w:val="28"/>
        </w:rPr>
        <w:t>25. В целях информирования адресатов о поступлении им почтового отправления оператор в автоматизированном режиме с использованием системы обеспечивает передачу информации о поступлении почтового отправления оператору Единого портала, операторам региональных порталов государственных и муниципальных услуг.</w:t>
      </w:r>
    </w:p>
    <w:p>
      <w:pPr>
        <w:pStyle w:val="Normal"/>
        <w:widowControl w:val="false"/>
        <w:spacing w:lineRule="auto" w:line="240"/>
        <w:ind w:firstLine="540"/>
        <w:rPr>
          <w:szCs w:val="28"/>
        </w:rPr>
      </w:pPr>
      <w:r>
        <w:rPr>
          <w:szCs w:val="28"/>
        </w:rPr>
        <w:t>26. При получении указанной информации оператор Единого портала, операторы региональных порталов государственных и муниципальных услуг обеспечивают её размещение в личном кабинете пользователя Единого портала, региональных порталов государственных и муниципальных услуг.</w:t>
      </w:r>
    </w:p>
    <w:p>
      <w:pPr>
        <w:pStyle w:val="Normal"/>
        <w:widowControl w:val="false"/>
        <w:spacing w:lineRule="auto" w:line="240"/>
        <w:ind w:firstLine="540"/>
        <w:rPr>
          <w:szCs w:val="28"/>
        </w:rPr>
      </w:pPr>
      <w:r>
        <w:rPr>
          <w:szCs w:val="28"/>
        </w:rPr>
      </w:r>
    </w:p>
    <w:p>
      <w:pPr>
        <w:pStyle w:val="Normal"/>
        <w:widowControl w:val="false"/>
        <w:spacing w:lineRule="auto" w:line="240"/>
        <w:ind w:firstLine="540"/>
        <w:jc w:val="center"/>
        <w:rPr>
          <w:b/>
          <w:bCs/>
          <w:szCs w:val="28"/>
        </w:rPr>
      </w:pPr>
      <w:r>
        <w:rPr>
          <w:b/>
          <w:bCs/>
          <w:szCs w:val="28"/>
        </w:rPr>
        <w:t>VI. Порядок получения согласия адресатов на получение почтового отправления в системе, отказа адресатов от получения заявлений, уведомлений, извещений, требований или иных юридически значимых сообщений на Едином портале и региональных порталах государственных и муниципальных услуг</w:t>
      </w:r>
    </w:p>
    <w:p>
      <w:pPr>
        <w:pStyle w:val="Normal"/>
        <w:widowControl w:val="false"/>
        <w:spacing w:lineRule="auto" w:line="240"/>
        <w:ind w:firstLine="540"/>
        <w:jc w:val="center"/>
        <w:rPr>
          <w:b/>
          <w:bCs/>
          <w:szCs w:val="28"/>
        </w:rPr>
      </w:pPr>
      <w:r>
        <w:rPr>
          <w:b/>
          <w:bCs/>
          <w:szCs w:val="28"/>
        </w:rPr>
      </w:r>
    </w:p>
    <w:p>
      <w:pPr>
        <w:pStyle w:val="Normal"/>
        <w:widowControl w:val="false"/>
        <w:spacing w:lineRule="auto" w:line="240"/>
        <w:ind w:firstLine="540"/>
        <w:rPr>
          <w:szCs w:val="28"/>
        </w:rPr>
      </w:pPr>
      <w:r>
        <w:rPr>
          <w:szCs w:val="28"/>
        </w:rPr>
        <w:t>27. Пользователи вправе выразить согласие на получение почтовых отправлений в форме электронного документа в системе следующими способами:</w:t>
      </w:r>
    </w:p>
    <w:p>
      <w:pPr>
        <w:pStyle w:val="Normal"/>
        <w:widowControl w:val="false"/>
        <w:spacing w:lineRule="auto" w:line="240"/>
        <w:ind w:firstLine="540"/>
        <w:rPr>
          <w:szCs w:val="28"/>
        </w:rPr>
      </w:pPr>
      <w:r>
        <w:rPr>
          <w:szCs w:val="28"/>
        </w:rPr>
        <w:t>в электронной форме с использованием системы;</w:t>
      </w:r>
    </w:p>
    <w:p>
      <w:pPr>
        <w:pStyle w:val="Normal"/>
        <w:widowControl w:val="false"/>
        <w:spacing w:lineRule="auto" w:line="240"/>
        <w:ind w:firstLine="540"/>
        <w:rPr>
          <w:szCs w:val="28"/>
        </w:rPr>
      </w:pPr>
      <w:r>
        <w:rPr>
          <w:szCs w:val="28"/>
        </w:rPr>
        <w:t xml:space="preserve">в организациях федеральной почтовой связи при личном обращении. </w:t>
      </w:r>
    </w:p>
    <w:p>
      <w:pPr>
        <w:pStyle w:val="Normal"/>
        <w:widowControl w:val="false"/>
        <w:spacing w:lineRule="auto" w:line="240"/>
        <w:ind w:firstLine="540"/>
        <w:rPr>
          <w:szCs w:val="28"/>
        </w:rPr>
      </w:pPr>
      <w:r>
        <w:rPr>
          <w:szCs w:val="28"/>
        </w:rPr>
        <w:t>28. Согласие на получение почтовых отправлений в форме электронного документа считается отозванным в случае выражения отказа от получения почтовых отправлений в системе.</w:t>
      </w:r>
    </w:p>
    <w:p>
      <w:pPr>
        <w:pStyle w:val="Normal"/>
        <w:widowControl w:val="false"/>
        <w:spacing w:lineRule="auto" w:line="240"/>
        <w:ind w:firstLine="540"/>
        <w:rPr>
          <w:szCs w:val="28"/>
        </w:rPr>
      </w:pPr>
      <w:r>
        <w:rPr>
          <w:szCs w:val="28"/>
        </w:rPr>
        <w:t xml:space="preserve">29. Пользователи, указанные в подпункте «б» пункта 11 настоящего Положения, вправе выразить отказ от получения на Едином портале и региональных порталах государственных и муниципальных услуг юридически значимых сообщений, направляемых с использованием системы следующими способами: </w:t>
      </w:r>
    </w:p>
    <w:p>
      <w:pPr>
        <w:pStyle w:val="Normal"/>
        <w:widowControl w:val="false"/>
        <w:spacing w:lineRule="auto" w:line="240"/>
        <w:ind w:firstLine="540"/>
        <w:rPr>
          <w:szCs w:val="28"/>
        </w:rPr>
      </w:pPr>
      <w:r>
        <w:rPr>
          <w:szCs w:val="28"/>
        </w:rPr>
        <w:t>в личном кабинете на Едином портале – в отношении юридически значимых сообщений, направляемых на Единый портал;</w:t>
      </w:r>
    </w:p>
    <w:p>
      <w:pPr>
        <w:pStyle w:val="Normal"/>
        <w:widowControl w:val="false"/>
        <w:spacing w:lineRule="auto" w:line="240"/>
        <w:ind w:firstLine="540"/>
        <w:rPr>
          <w:szCs w:val="28"/>
        </w:rPr>
      </w:pPr>
      <w:r>
        <w:rPr>
          <w:szCs w:val="28"/>
        </w:rPr>
        <w:t>в личном кабинете на региональном портале государственных и муниципальных услуг – в отношении юридически значимых сообщений, направляемых в региональный портал государственных и муниципальных услуг.</w:t>
      </w:r>
    </w:p>
    <w:p>
      <w:pPr>
        <w:pStyle w:val="Normal"/>
        <w:widowControl w:val="false"/>
        <w:spacing w:lineRule="auto" w:line="240"/>
        <w:ind w:firstLine="540"/>
        <w:rPr>
          <w:szCs w:val="28"/>
        </w:rPr>
      </w:pPr>
      <w:r>
        <w:rPr>
          <w:szCs w:val="28"/>
        </w:rPr>
        <w:t>30. Оператор Единого портала, операторы региональных порталов государственных и муниципальных услуг обеспечивают информирование пользователей системы о возможности дать согласие на получение почтового отправления в системе и возможности заявить отказ от получения юридически значимых сообщений соответственно на Едином портале, региональных порталах государственных и муниципальных услуг.</w:t>
      </w:r>
    </w:p>
    <w:p>
      <w:pPr>
        <w:pStyle w:val="Normal"/>
        <w:widowControl w:val="false"/>
        <w:spacing w:lineRule="auto" w:line="240"/>
        <w:ind w:firstLine="540"/>
        <w:rPr>
          <w:szCs w:val="28"/>
        </w:rPr>
      </w:pPr>
      <w:r>
        <w:rPr>
          <w:szCs w:val="28"/>
        </w:rPr>
      </w:r>
    </w:p>
    <w:p>
      <w:pPr>
        <w:pStyle w:val="Normal"/>
        <w:widowControl w:val="false"/>
        <w:spacing w:lineRule="auto" w:line="240"/>
        <w:ind w:firstLine="540"/>
        <w:rPr>
          <w:b/>
          <w:bCs/>
          <w:szCs w:val="28"/>
        </w:rPr>
      </w:pPr>
      <w:r>
        <w:rPr>
          <w:b/>
          <w:bCs/>
          <w:szCs w:val="28"/>
        </w:rPr>
        <w:t>VI</w:t>
      </w:r>
      <w:r>
        <w:rPr>
          <w:b/>
          <w:bCs/>
          <w:szCs w:val="28"/>
          <w:lang w:val="en-US"/>
        </w:rPr>
        <w:t>I</w:t>
      </w:r>
      <w:r>
        <w:rPr>
          <w:b/>
          <w:bCs/>
          <w:szCs w:val="28"/>
        </w:rPr>
        <w:t>. Порядок направления юридически значимых сообщений в форме электронного документа посредством Системы на Единый портал и на региональные порталы государственных и муниципальных услуг</w:t>
      </w:r>
    </w:p>
    <w:p>
      <w:pPr>
        <w:pStyle w:val="Normal"/>
        <w:widowControl w:val="false"/>
        <w:spacing w:lineRule="auto" w:line="240"/>
        <w:ind w:firstLine="540"/>
        <w:rPr>
          <w:szCs w:val="28"/>
        </w:rPr>
      </w:pPr>
      <w:r>
        <w:rPr>
          <w:szCs w:val="28"/>
        </w:rPr>
      </w:r>
    </w:p>
    <w:p>
      <w:pPr>
        <w:pStyle w:val="Normal"/>
        <w:widowControl w:val="false"/>
        <w:spacing w:lineRule="auto" w:line="240"/>
        <w:ind w:firstLine="540"/>
        <w:rPr>
          <w:szCs w:val="28"/>
        </w:rPr>
      </w:pPr>
      <w:r>
        <w:rPr>
          <w:szCs w:val="28"/>
        </w:rPr>
        <w:t>31. В случае, если в соответствии с законодательством Российской Федерации, законодательством субъектов Российской Федерации, муниципальными правовыми актами, а также нормативными актами Центрального банка Российской Федерации предусмотрено направление пользователями, указанными в подпункте «а» пункта 11 настоящего Положения, юридическим лицам и физическим лицам, в том числе индивидуальным предпринимателям, юридически значимых сообщений с использованием инфраструктуры взаимодействия, такие сообщения направляются в форме электронного документа на Единый портал и региональные порталы государственных и муниципальных услуг посредством системы с использованием единой системы межведомственного электронного взаимодействия.</w:t>
      </w:r>
    </w:p>
    <w:p>
      <w:pPr>
        <w:pStyle w:val="Normal"/>
        <w:widowControl w:val="false"/>
        <w:spacing w:lineRule="auto" w:line="240"/>
        <w:ind w:firstLine="540"/>
        <w:rPr>
          <w:szCs w:val="28"/>
        </w:rPr>
      </w:pPr>
      <w:r>
        <w:rPr>
          <w:szCs w:val="28"/>
        </w:rPr>
        <w:t>32. Для направления юридически значимых сообщений пользователи системы, указанные в подпункте «а» пункта 11, настоящего Положения:</w:t>
      </w:r>
    </w:p>
    <w:p>
      <w:pPr>
        <w:pStyle w:val="Normal"/>
        <w:widowControl w:val="false"/>
        <w:spacing w:lineRule="auto" w:line="240"/>
        <w:ind w:firstLine="540"/>
        <w:rPr>
          <w:szCs w:val="28"/>
        </w:rPr>
      </w:pPr>
      <w:r>
        <w:rPr>
          <w:szCs w:val="28"/>
        </w:rPr>
        <w:t>в целях авторизации в системе проходят аутентификацию с использованием единой системы идентификации и аутентификации;</w:t>
      </w:r>
    </w:p>
    <w:p>
      <w:pPr>
        <w:pStyle w:val="Normal"/>
        <w:widowControl w:val="false"/>
        <w:spacing w:lineRule="auto" w:line="240"/>
        <w:ind w:firstLine="540"/>
        <w:rPr>
          <w:szCs w:val="28"/>
        </w:rPr>
      </w:pPr>
      <w:r>
        <w:rPr>
          <w:szCs w:val="28"/>
        </w:rPr>
        <w:t>формируют сообщения для передачи юридически значимых документов, а также иных документов и сообщений посредством системы.</w:t>
      </w:r>
    </w:p>
    <w:p>
      <w:pPr>
        <w:pStyle w:val="Normal"/>
        <w:widowControl w:val="false"/>
        <w:spacing w:lineRule="auto" w:line="240"/>
        <w:ind w:firstLine="540"/>
        <w:rPr>
          <w:szCs w:val="28"/>
        </w:rPr>
      </w:pPr>
      <w:r>
        <w:rPr>
          <w:szCs w:val="28"/>
        </w:rPr>
        <w:t>33. Оператор направляет сформированные сообщения, указанные в пункте 32 настоящего Положения, на Единый портал, региональные порталы государственных и муниципальных услуг с использованием единой системы межведомственного электронного взаимодействия в автоматическом режиме. В случае, если за направление юридически значимых сообщений в соответствии с Федеральным законом «О почтовой связи» взимается плата, направление таких сообщений осуществляется при условии внесения отправителем такой платы.</w:t>
      </w:r>
    </w:p>
    <w:p>
      <w:pPr>
        <w:pStyle w:val="Normal"/>
        <w:widowControl w:val="false"/>
        <w:spacing w:lineRule="auto" w:line="240"/>
        <w:ind w:firstLine="540"/>
        <w:rPr>
          <w:szCs w:val="28"/>
        </w:rPr>
      </w:pPr>
      <w:r>
        <w:rPr>
          <w:szCs w:val="28"/>
        </w:rPr>
        <w:t xml:space="preserve">34. Отправители вносят плату за направление юридически значимых сообщений в случае направления юридически значимых сообщений, категории которых установлены Приложением к настоящему Положению, за исключением следующих случаев: </w:t>
      </w:r>
    </w:p>
    <w:p>
      <w:pPr>
        <w:pStyle w:val="Normal"/>
        <w:widowControl w:val="false"/>
        <w:spacing w:lineRule="auto" w:line="240"/>
        <w:ind w:firstLine="540"/>
        <w:rPr>
          <w:szCs w:val="28"/>
        </w:rPr>
      </w:pPr>
      <w:r>
        <w:rPr>
          <w:szCs w:val="28"/>
        </w:rPr>
        <w:t>направление юридически значимых сообщений пользователями системы, указанными в подпункте «а» пункта 11 настоящего Положения, при осуществлении ими функций в соответствии с законодательством Российской Федерации о государственной социальной помощи;</w:t>
      </w:r>
    </w:p>
    <w:p>
      <w:pPr>
        <w:pStyle w:val="Normal"/>
        <w:widowControl w:val="false"/>
        <w:spacing w:lineRule="auto" w:line="240"/>
        <w:ind w:firstLine="540"/>
        <w:rPr>
          <w:szCs w:val="28"/>
        </w:rPr>
      </w:pPr>
      <w:r>
        <w:rPr>
          <w:szCs w:val="28"/>
        </w:rPr>
        <w:t>направление юридически значимых сообщений государственными и муниципальными унитарными предприятиями, государственными и муниципальными учреждениями;</w:t>
      </w:r>
    </w:p>
    <w:p>
      <w:pPr>
        <w:pStyle w:val="Normal"/>
        <w:widowControl w:val="false"/>
        <w:spacing w:lineRule="auto" w:line="240"/>
        <w:ind w:firstLine="540"/>
        <w:rPr>
          <w:szCs w:val="28"/>
        </w:rPr>
      </w:pPr>
      <w:r>
        <w:rPr>
          <w:szCs w:val="28"/>
        </w:rPr>
        <w:t>направление информации о размещенных (сформированных) в государственной информационной системе жилищно-коммунального хозяйства сообщениях, уведомлениях и документах;</w:t>
      </w:r>
    </w:p>
    <w:p>
      <w:pPr>
        <w:pStyle w:val="Normal"/>
        <w:widowControl w:val="false"/>
        <w:spacing w:lineRule="auto" w:line="240"/>
        <w:ind w:firstLine="540"/>
        <w:rPr>
          <w:szCs w:val="28"/>
        </w:rPr>
      </w:pPr>
      <w:r>
        <w:rPr>
          <w:szCs w:val="28"/>
        </w:rPr>
        <w:t>направление гражданам или их уполномоченным представителям юридически значимых сообщений, а также информации о ходе и результатах оказания мер социальной защиты (поддержки);</w:t>
      </w:r>
    </w:p>
    <w:p>
      <w:pPr>
        <w:pStyle w:val="Normal"/>
        <w:widowControl w:val="false"/>
        <w:spacing w:lineRule="auto" w:line="240"/>
        <w:ind w:firstLine="540"/>
        <w:rPr>
          <w:szCs w:val="28"/>
        </w:rPr>
      </w:pPr>
      <w:r>
        <w:rPr>
          <w:szCs w:val="28"/>
        </w:rPr>
        <w:t>направление платежных документов, сформированных с учетом положений части 2</w:t>
      </w:r>
      <w:r>
        <w:rPr>
          <w:szCs w:val="28"/>
          <w:vertAlign w:val="superscript"/>
        </w:rPr>
        <w:t>10</w:t>
      </w:r>
      <w:r>
        <w:rPr>
          <w:szCs w:val="28"/>
        </w:rPr>
        <w:t xml:space="preserve"> статьи 155 Жилищного кодекса Российской Федерации.</w:t>
      </w:r>
    </w:p>
    <w:p>
      <w:pPr>
        <w:pStyle w:val="Normal"/>
        <w:widowControl w:val="false"/>
        <w:spacing w:lineRule="auto" w:line="240"/>
        <w:ind w:firstLine="540"/>
        <w:rPr>
          <w:szCs w:val="28"/>
        </w:rPr>
      </w:pPr>
      <w:r>
        <w:rPr>
          <w:szCs w:val="28"/>
        </w:rPr>
        <w:t>35. Оператор Единого портала, операторы региональных порталов государственных и муниципальных услуг, обеспечившие информационное взаимодействие региональных порталов государственных и муниципальных услуг с системой, осуществляют размещение в личном кабинете пользователя на Едином портале и региональных порталах государственных и муниципальных услуг юридически значимого сообщения при соблюдении одновременно следующих условий:</w:t>
      </w:r>
    </w:p>
    <w:p>
      <w:pPr>
        <w:pStyle w:val="Normal"/>
        <w:widowControl w:val="false"/>
        <w:spacing w:lineRule="auto" w:line="240"/>
        <w:ind w:firstLine="540"/>
        <w:rPr>
          <w:szCs w:val="28"/>
        </w:rPr>
      </w:pPr>
      <w:r>
        <w:rPr>
          <w:szCs w:val="28"/>
        </w:rPr>
        <w:t>адресат завершил прохождение процедуры регистрации в единой системе идентификации и аутентификации;</w:t>
      </w:r>
    </w:p>
    <w:p>
      <w:pPr>
        <w:pStyle w:val="Normal"/>
        <w:widowControl w:val="false"/>
        <w:spacing w:lineRule="auto" w:line="240"/>
        <w:ind w:firstLine="540"/>
        <w:rPr>
          <w:szCs w:val="28"/>
        </w:rPr>
      </w:pPr>
      <w:r>
        <w:rPr>
          <w:szCs w:val="28"/>
        </w:rPr>
        <w:t xml:space="preserve">адресат не выразил отказ от получения юридически значимых сообщений на Едином портале, на региональном портале государственных и муниципальных услуг соответственно. </w:t>
      </w:r>
    </w:p>
    <w:p>
      <w:pPr>
        <w:pStyle w:val="Normal"/>
        <w:widowControl w:val="false"/>
        <w:spacing w:lineRule="auto" w:line="240"/>
        <w:ind w:firstLine="540"/>
        <w:rPr>
          <w:szCs w:val="28"/>
        </w:rPr>
      </w:pPr>
      <w:r>
        <w:rPr>
          <w:szCs w:val="28"/>
        </w:rPr>
        <w:t>36. При невозможности размещения юридически значимого сообщения в личном кабинете пользователя в связи с несоблюдением условий, указанных в пункте 35 настоящего Положения, оператор Единого портала, операторы региональных порталов государственных и муниципальных услуг направляют оператору с использованием единой системы межведомственного электронного взаимодействия сведения о невозможности доставки юридически значимого сообщения, причине невозможности доставки юридически значимого сообщения адресату, метке времени, соответствующей дате и времени установления оператором Единого портала, операторами региональных порталов государственных и муниципальных услуг соответствующего факта.</w:t>
      </w:r>
    </w:p>
    <w:p>
      <w:pPr>
        <w:pStyle w:val="Normal"/>
        <w:widowControl w:val="false"/>
        <w:spacing w:lineRule="auto" w:line="240"/>
        <w:ind w:firstLine="540"/>
        <w:rPr>
          <w:szCs w:val="28"/>
        </w:rPr>
      </w:pPr>
      <w:r>
        <w:rPr>
          <w:szCs w:val="28"/>
        </w:rPr>
        <w:t>37. В случае размещения юридически значимого сообщения в личном кабинете пользователя на Едином портале и региональных порталах государственных и муниципальных услуг оператор Единого портала, операторы региональных порталов государственных и муниципальных услуг направляют оператору посредством единой системы межведомственного электронного взаимодействия сведения о размещении юридически значимого сообщения, о факте входа юридического или физического лица в личный кабинет на Едином портале, региональных порталах государственных и муниципальных услуг, метке времени, соответствующей дате и времени установления оператором Единого портала, операторами региональных порталов государственных и муниципальных услуг соответствующего факта.</w:t>
      </w:r>
    </w:p>
    <w:p>
      <w:pPr>
        <w:pStyle w:val="Normal"/>
        <w:widowControl w:val="false"/>
        <w:spacing w:lineRule="auto" w:line="240"/>
        <w:ind w:firstLine="540"/>
        <w:rPr>
          <w:szCs w:val="28"/>
        </w:rPr>
      </w:pPr>
      <w:r>
        <w:rPr>
          <w:szCs w:val="28"/>
        </w:rPr>
        <w:t>38. Оператор системы обеспечивает учет и фиксацию в системе сведений о фактах направления и доставки юридически значимых сообщений, сведений, полученных от оператора Единого портала, операторов региональных порталов государственных и муниципальных услуг, и возможность получения таких сведений пользователями системы.</w:t>
      </w:r>
    </w:p>
    <w:p>
      <w:pPr>
        <w:pStyle w:val="Normal"/>
        <w:widowControl w:val="false"/>
        <w:spacing w:lineRule="auto" w:line="240"/>
        <w:ind w:firstLine="540"/>
        <w:rPr>
          <w:szCs w:val="28"/>
        </w:rPr>
      </w:pPr>
      <w:r>
        <w:rPr>
          <w:szCs w:val="28"/>
        </w:rPr>
      </w:r>
    </w:p>
    <w:p>
      <w:pPr>
        <w:pStyle w:val="Normal"/>
        <w:widowControl w:val="false"/>
        <w:spacing w:lineRule="auto" w:line="240"/>
        <w:rPr>
          <w:b/>
          <w:bCs/>
          <w:szCs w:val="28"/>
        </w:rPr>
      </w:pPr>
      <w:r>
        <w:rPr>
          <w:b/>
          <w:bCs/>
          <w:sz w:val="24"/>
        </w:rPr>
        <w:tab/>
      </w:r>
      <w:r>
        <w:rPr>
          <w:b/>
          <w:bCs/>
          <w:szCs w:val="28"/>
          <w:lang w:val="en-US"/>
        </w:rPr>
        <w:t>VIII</w:t>
      </w:r>
      <w:r>
        <w:rPr>
          <w:b/>
          <w:bCs/>
          <w:szCs w:val="28"/>
        </w:rPr>
        <w:t>. Порядок и сроки хранения информации в Системе</w:t>
      </w:r>
    </w:p>
    <w:p>
      <w:pPr>
        <w:pStyle w:val="Normal"/>
        <w:widowControl w:val="false"/>
        <w:spacing w:lineRule="auto" w:line="240"/>
        <w:rPr>
          <w:b/>
          <w:bCs/>
          <w:szCs w:val="28"/>
        </w:rPr>
      </w:pPr>
      <w:r>
        <w:rPr>
          <w:b/>
          <w:bCs/>
          <w:szCs w:val="28"/>
        </w:rPr>
      </w:r>
    </w:p>
    <w:p>
      <w:pPr>
        <w:pStyle w:val="Normal"/>
        <w:widowControl w:val="false"/>
        <w:spacing w:lineRule="auto" w:line="240"/>
        <w:ind w:firstLine="540"/>
        <w:rPr>
          <w:szCs w:val="28"/>
        </w:rPr>
      </w:pPr>
      <w:r>
        <w:rPr>
          <w:szCs w:val="28"/>
        </w:rPr>
        <w:t xml:space="preserve">39. Оператор обеспечивает хранение информации </w:t>
        <w:br/>
        <w:t xml:space="preserve">в системе до момента передачи такой информации адресату на Единый портал, в том числе в электронный почтовый ящик адресата, создаваемый на Едином портале. </w:t>
      </w:r>
    </w:p>
    <w:p>
      <w:pPr>
        <w:pStyle w:val="Normal"/>
        <w:widowControl w:val="false"/>
        <w:spacing w:lineRule="auto" w:line="240"/>
        <w:ind w:firstLine="540"/>
        <w:rPr>
          <w:szCs w:val="28"/>
        </w:rPr>
      </w:pPr>
      <w:r>
        <w:rPr>
          <w:szCs w:val="28"/>
        </w:rPr>
        <w:t>В случае отсутствия адресата на Едином портале, а также отсутствия у адресата электронного почтового ящика адресата, создаваемого на Едином портале, направляемая информация подлежит хранению в системе до момента её доставки (вручения) адресату в порядке, установленном правилами оказания услуг почтовой связи.</w:t>
      </w:r>
    </w:p>
    <w:p>
      <w:pPr>
        <w:pStyle w:val="Normal"/>
        <w:widowControl w:val="false"/>
        <w:spacing w:lineRule="auto" w:line="240"/>
        <w:ind w:firstLine="540"/>
        <w:jc w:val="center"/>
        <w:rPr>
          <w:b/>
          <w:bCs/>
          <w:szCs w:val="28"/>
        </w:rPr>
      </w:pPr>
      <w:r>
        <w:rPr>
          <w:b/>
          <w:bCs/>
          <w:szCs w:val="28"/>
        </w:rPr>
      </w:r>
    </w:p>
    <w:p>
      <w:pPr>
        <w:pStyle w:val="Normal"/>
        <w:widowControl w:val="false"/>
        <w:spacing w:lineRule="auto" w:line="240"/>
        <w:ind w:firstLine="540"/>
        <w:rPr>
          <w:sz w:val="24"/>
        </w:rPr>
      </w:pPr>
      <w:r>
        <w:rPr>
          <w:sz w:val="24"/>
        </w:rPr>
      </w:r>
    </w:p>
    <w:p>
      <w:pPr>
        <w:pStyle w:val="Normal"/>
        <w:widowControl w:val="false"/>
        <w:spacing w:lineRule="auto" w:line="240"/>
        <w:ind w:firstLine="540"/>
        <w:jc w:val="center"/>
        <w:rPr>
          <w:b/>
          <w:bCs/>
          <w:szCs w:val="28"/>
        </w:rPr>
      </w:pPr>
      <w:r>
        <w:rPr>
          <w:b/>
          <w:bCs/>
          <w:szCs w:val="28"/>
          <w:lang w:val="en-US"/>
        </w:rPr>
        <w:t>IX</w:t>
      </w:r>
      <w:r>
        <w:rPr>
          <w:b/>
          <w:bCs/>
          <w:szCs w:val="28"/>
        </w:rPr>
        <w:t>. Требования к программно-техническим средствам</w:t>
      </w:r>
    </w:p>
    <w:p>
      <w:pPr>
        <w:pStyle w:val="Normal"/>
        <w:widowControl w:val="false"/>
        <w:spacing w:lineRule="auto" w:line="240"/>
        <w:ind w:firstLine="540"/>
        <w:jc w:val="center"/>
        <w:rPr>
          <w:b/>
          <w:bCs/>
          <w:szCs w:val="28"/>
        </w:rPr>
      </w:pPr>
      <w:r>
        <w:rPr>
          <w:b/>
          <w:bCs/>
          <w:szCs w:val="28"/>
        </w:rPr>
        <w:t>системы</w:t>
      </w:r>
    </w:p>
    <w:p>
      <w:pPr>
        <w:pStyle w:val="Normal"/>
        <w:widowControl w:val="false"/>
        <w:spacing w:lineRule="auto" w:line="240"/>
        <w:ind w:firstLine="540"/>
        <w:rPr>
          <w:sz w:val="24"/>
        </w:rPr>
      </w:pPr>
      <w:r>
        <w:rPr>
          <w:sz w:val="24"/>
        </w:rPr>
      </w:r>
      <w:bookmarkStart w:id="8" w:name="P144"/>
      <w:bookmarkStart w:id="9" w:name="P146"/>
      <w:bookmarkStart w:id="10" w:name="P144"/>
      <w:bookmarkStart w:id="11" w:name="P146"/>
      <w:bookmarkEnd w:id="10"/>
      <w:bookmarkEnd w:id="11"/>
    </w:p>
    <w:p>
      <w:pPr>
        <w:pStyle w:val="Normal"/>
        <w:widowControl w:val="false"/>
        <w:spacing w:lineRule="auto" w:line="240"/>
        <w:ind w:firstLine="539"/>
        <w:rPr>
          <w:szCs w:val="28"/>
        </w:rPr>
      </w:pPr>
      <w:r>
        <w:rPr>
          <w:szCs w:val="28"/>
        </w:rPr>
        <w:t>40. Программно-технические средства системы должны отвечать следующим требованиям:</w:t>
      </w:r>
    </w:p>
    <w:p>
      <w:pPr>
        <w:pStyle w:val="Normal"/>
        <w:widowControl w:val="false"/>
        <w:spacing w:lineRule="auto" w:line="240"/>
        <w:ind w:firstLine="539"/>
        <w:rPr>
          <w:szCs w:val="28"/>
        </w:rPr>
      </w:pPr>
      <w:r>
        <w:rPr>
          <w:szCs w:val="28"/>
        </w:rPr>
        <w:t>а) располагаться на территории Российской Федерации;</w:t>
      </w:r>
    </w:p>
    <w:p>
      <w:pPr>
        <w:pStyle w:val="Normal"/>
        <w:widowControl w:val="false"/>
        <w:spacing w:lineRule="auto" w:line="240"/>
        <w:ind w:firstLine="539"/>
        <w:rPr>
          <w:szCs w:val="28"/>
        </w:rPr>
      </w:pPr>
      <w:r>
        <w:rPr>
          <w:szCs w:val="28"/>
        </w:rPr>
        <w:t>б) обеспечивать размещение сведений на русском языке;</w:t>
      </w:r>
    </w:p>
    <w:p>
      <w:pPr>
        <w:pStyle w:val="Normal"/>
        <w:widowControl w:val="false"/>
        <w:spacing w:lineRule="auto" w:line="240"/>
        <w:ind w:firstLine="539"/>
        <w:rPr>
          <w:szCs w:val="28"/>
        </w:rPr>
      </w:pPr>
      <w:r>
        <w:rPr>
          <w:szCs w:val="28"/>
        </w:rPr>
        <w:t>в) иметь действующие сертификаты, выданные Федеральной службой безопасности Российской Федерации и (или) Федеральной службой по техническому и экспортному контролю в отношении входящих в их состав средств защиты информации, включающих программно-аппаратные средства, средства антивирусной и криптографической защиты информации и средства защиты информации от несанкционированного доступа, уничтожения, модификации и блокирования доступа к ней, а также от иных неправомерных действий в отношении такой информации;</w:t>
      </w:r>
    </w:p>
    <w:p>
      <w:pPr>
        <w:pStyle w:val="Normal"/>
        <w:widowControl w:val="false"/>
        <w:spacing w:lineRule="auto" w:line="240"/>
        <w:ind w:firstLine="539"/>
        <w:rPr>
          <w:szCs w:val="28"/>
        </w:rPr>
      </w:pPr>
      <w:r>
        <w:rPr>
          <w:szCs w:val="28"/>
        </w:rPr>
        <w:t>г) обеспечивать автоматизированное ведение электронных журналов учета операций, осуществляемых в системе, с фиксацией размещения, изменения и удаления информации, точного времени совершения таких операций, содержания изменений и информации о пользователях, совершивших такие действия;</w:t>
      </w:r>
    </w:p>
    <w:p>
      <w:pPr>
        <w:pStyle w:val="Normal"/>
        <w:widowControl w:val="false"/>
        <w:spacing w:lineRule="auto" w:line="240"/>
        <w:ind w:firstLine="539"/>
        <w:rPr>
          <w:szCs w:val="28"/>
        </w:rPr>
      </w:pPr>
      <w:r>
        <w:rPr>
          <w:szCs w:val="28"/>
        </w:rPr>
        <w:t>д) обеспечивать доступ пользователей к системе, а также бесперебойное ведение баз данных и защиту содержащихся в системе сведений от несанкционированного доступа;</w:t>
      </w:r>
    </w:p>
    <w:p>
      <w:pPr>
        <w:pStyle w:val="Normal"/>
        <w:widowControl w:val="false"/>
        <w:spacing w:lineRule="auto" w:line="240"/>
        <w:ind w:firstLine="539"/>
        <w:rPr>
          <w:szCs w:val="28"/>
        </w:rPr>
      </w:pPr>
      <w:r>
        <w:rPr>
          <w:szCs w:val="28"/>
        </w:rPr>
        <w:t>е) обеспечивать возможность информационного взаимодействия системы с информационными системами, в том числе посредством использования элементов инфраструктуры взаимодействия.</w:t>
      </w:r>
    </w:p>
    <w:p>
      <w:pPr>
        <w:pStyle w:val="Normal"/>
        <w:widowControl w:val="false"/>
        <w:spacing w:lineRule="auto" w:line="240"/>
        <w:ind w:firstLine="539"/>
        <w:rPr>
          <w:szCs w:val="28"/>
        </w:rPr>
      </w:pPr>
      <w:r>
        <w:rPr>
          <w:szCs w:val="28"/>
        </w:rPr>
      </w:r>
    </w:p>
    <w:p>
      <w:pPr>
        <w:pStyle w:val="Normal"/>
        <w:widowControl w:val="false"/>
        <w:spacing w:lineRule="auto" w:line="240"/>
        <w:ind w:firstLine="540"/>
        <w:jc w:val="center"/>
        <w:rPr>
          <w:b/>
          <w:bCs/>
          <w:szCs w:val="28"/>
        </w:rPr>
      </w:pPr>
      <w:r>
        <w:rPr>
          <w:b/>
          <w:bCs/>
          <w:szCs w:val="28"/>
          <w:lang w:val="en-US"/>
        </w:rPr>
        <w:t>X</w:t>
      </w:r>
      <w:r>
        <w:rPr>
          <w:b/>
          <w:bCs/>
          <w:szCs w:val="28"/>
        </w:rPr>
        <w:t>. Порядок защиты информации, содержащейся в системе</w:t>
      </w:r>
    </w:p>
    <w:p>
      <w:pPr>
        <w:pStyle w:val="Normal"/>
        <w:widowControl w:val="false"/>
        <w:spacing w:lineRule="auto" w:line="240"/>
        <w:jc w:val="center"/>
        <w:rPr>
          <w:sz w:val="24"/>
        </w:rPr>
      </w:pPr>
      <w:r>
        <w:rPr>
          <w:sz w:val="24"/>
        </w:rPr>
      </w:r>
    </w:p>
    <w:p>
      <w:pPr>
        <w:pStyle w:val="Normal"/>
        <w:widowControl w:val="false"/>
        <w:spacing w:lineRule="auto" w:line="240"/>
        <w:ind w:firstLine="540"/>
        <w:rPr>
          <w:szCs w:val="28"/>
        </w:rPr>
      </w:pPr>
      <w:r>
        <w:rPr>
          <w:szCs w:val="28"/>
        </w:rPr>
        <w:t>41. Информация, содержащаяся в Системе, подлежит защите в соответствии с законодательством Российской Федерации об информации, информационных технологиях и о защите информации.</w:t>
      </w:r>
    </w:p>
    <w:p>
      <w:pPr>
        <w:pStyle w:val="Normal"/>
        <w:widowControl w:val="false"/>
        <w:spacing w:lineRule="auto" w:line="240"/>
        <w:ind w:firstLine="540"/>
        <w:rPr>
          <w:szCs w:val="28"/>
        </w:rPr>
      </w:pPr>
      <w:r>
        <w:rPr>
          <w:szCs w:val="28"/>
        </w:rPr>
        <w:t>42. Защита информации, содержащейся в системе, обеспечивается посредством применения организационных и технических мер защиты информации, а также осуществления контроля за эксплуатацией системы.</w:t>
      </w:r>
    </w:p>
    <w:p>
      <w:pPr>
        <w:pStyle w:val="Normal"/>
        <w:widowControl w:val="false"/>
        <w:spacing w:lineRule="auto" w:line="240"/>
        <w:ind w:firstLine="540"/>
        <w:rPr>
          <w:szCs w:val="28"/>
        </w:rPr>
      </w:pPr>
      <w:r>
        <w:rPr>
          <w:szCs w:val="28"/>
        </w:rPr>
        <w:t>43. Для обеспечения защиты информации в ходе создания, развития и эксплуатации системы оператором осуществляются:</w:t>
      </w:r>
    </w:p>
    <w:p>
      <w:pPr>
        <w:pStyle w:val="Normal"/>
        <w:widowControl w:val="false"/>
        <w:spacing w:lineRule="auto" w:line="240"/>
        <w:ind w:firstLine="540"/>
        <w:rPr>
          <w:szCs w:val="28"/>
        </w:rPr>
      </w:pPr>
      <w:r>
        <w:rPr>
          <w:szCs w:val="28"/>
        </w:rPr>
        <w:t>а) формирование требований к защите информации, содержащейся в системе;</w:t>
      </w:r>
    </w:p>
    <w:p>
      <w:pPr>
        <w:pStyle w:val="Normal"/>
        <w:widowControl w:val="false"/>
        <w:spacing w:lineRule="auto" w:line="240"/>
        <w:ind w:firstLine="540"/>
        <w:rPr>
          <w:szCs w:val="28"/>
        </w:rPr>
      </w:pPr>
      <w:r>
        <w:rPr>
          <w:szCs w:val="28"/>
        </w:rPr>
        <w:t>б) применение сертифицированных средств защиты информации, а также проведение аттестации системы на соответствие требованиям к защите информации.</w:t>
      </w:r>
    </w:p>
    <w:p>
      <w:pPr>
        <w:pStyle w:val="Normal"/>
        <w:widowControl w:val="false"/>
        <w:spacing w:lineRule="auto" w:line="240"/>
        <w:ind w:firstLine="540"/>
        <w:rPr>
          <w:szCs w:val="28"/>
        </w:rPr>
      </w:pPr>
      <w:r>
        <w:rPr>
          <w:szCs w:val="28"/>
        </w:rPr>
        <w:t>44. В целях защиты информации, содержащейся в системе, оператор обеспечивает:</w:t>
      </w:r>
    </w:p>
    <w:p>
      <w:pPr>
        <w:pStyle w:val="Normal"/>
        <w:widowControl w:val="false"/>
        <w:spacing w:lineRule="auto" w:line="240"/>
        <w:ind w:firstLine="540"/>
        <w:rPr>
          <w:szCs w:val="28"/>
        </w:rPr>
      </w:pPr>
      <w:r>
        <w:rPr>
          <w:szCs w:val="28"/>
        </w:rPr>
        <w:t>а) предотвращение несанкционированного доступа к информации, содержащейся в системе, и (или) передачи такой информации лицам, не имеющим права доступа к такой информации;</w:t>
      </w:r>
    </w:p>
    <w:p>
      <w:pPr>
        <w:pStyle w:val="Normal"/>
        <w:widowControl w:val="false"/>
        <w:spacing w:lineRule="auto" w:line="240"/>
        <w:ind w:firstLine="540"/>
        <w:rPr>
          <w:szCs w:val="28"/>
        </w:rPr>
      </w:pPr>
      <w:r>
        <w:rPr>
          <w:szCs w:val="28"/>
        </w:rPr>
        <w:t>б) незамедлительное обнаружение фактов несанкционированного доступа к информации, содержащейся в системе;</w:t>
      </w:r>
    </w:p>
    <w:p>
      <w:pPr>
        <w:pStyle w:val="Normal"/>
        <w:widowControl w:val="false"/>
        <w:spacing w:lineRule="auto" w:line="240"/>
        <w:ind w:firstLine="540"/>
        <w:rPr>
          <w:szCs w:val="28"/>
        </w:rPr>
      </w:pPr>
      <w:r>
        <w:rPr>
          <w:szCs w:val="28"/>
        </w:rPr>
        <w:t>в) недопущение несанкционированного воздействия на входящие в состав системы технические средства обработки информации, в результате которого нарушается их функционирование;</w:t>
      </w:r>
    </w:p>
    <w:p>
      <w:pPr>
        <w:pStyle w:val="Normal"/>
        <w:widowControl w:val="false"/>
        <w:spacing w:lineRule="auto" w:line="240"/>
        <w:ind w:firstLine="540"/>
        <w:rPr>
          <w:szCs w:val="28"/>
        </w:rPr>
      </w:pPr>
      <w:r>
        <w:rPr>
          <w:szCs w:val="28"/>
        </w:rPr>
        <w:t>г) возможность незамедлительного выявления фактов модификации, уничтожения или блокирования информации, содержащейся в системе, вследствие несанкционированного доступа и восстановление такой информации.</w:t>
      </w:r>
    </w:p>
    <w:p>
      <w:pPr>
        <w:pStyle w:val="Normal"/>
        <w:widowControl w:val="false"/>
        <w:spacing w:lineRule="auto" w:line="240"/>
        <w:ind w:firstLine="540"/>
        <w:rPr>
          <w:szCs w:val="28"/>
        </w:rPr>
      </w:pPr>
      <w:r>
        <w:rPr>
          <w:szCs w:val="28"/>
        </w:rPr>
      </w:r>
    </w:p>
    <w:p>
      <w:pPr>
        <w:pStyle w:val="Normal"/>
        <w:widowControl w:val="false"/>
        <w:spacing w:lineRule="auto" w:line="240"/>
        <w:jc w:val="center"/>
        <w:rPr>
          <w:szCs w:val="28"/>
        </w:rPr>
      </w:pPr>
      <w:r>
        <w:rPr>
          <w:szCs w:val="28"/>
        </w:rPr>
        <w:t>_______________</w:t>
      </w:r>
    </w:p>
    <w:p>
      <w:pPr>
        <w:pStyle w:val="Normal"/>
        <w:spacing w:lineRule="auto" w:line="240"/>
        <w:jc w:val="left"/>
        <w:rPr>
          <w:szCs w:val="28"/>
        </w:rPr>
      </w:pPr>
      <w:r>
        <w:rPr>
          <w:szCs w:val="28"/>
        </w:rPr>
      </w:r>
      <w:r>
        <w:br w:type="page"/>
      </w:r>
    </w:p>
    <w:p>
      <w:pPr>
        <w:pStyle w:val="Normal"/>
        <w:widowControl w:val="false"/>
        <w:spacing w:lineRule="auto" w:line="240" w:before="0" w:after="0"/>
        <w:ind w:firstLine="709" w:left="4963"/>
        <w:jc w:val="center"/>
        <w:rPr>
          <w:szCs w:val="28"/>
        </w:rPr>
      </w:pPr>
      <w:r>
        <w:rPr>
          <w:szCs w:val="28"/>
        </w:rPr>
        <w:t xml:space="preserve">Приложение </w:t>
      </w:r>
    </w:p>
    <w:p>
      <w:pPr>
        <w:pStyle w:val="Normal"/>
        <w:widowControl w:val="false"/>
        <w:spacing w:lineRule="auto" w:line="240"/>
        <w:ind w:firstLine="709" w:left="4963"/>
        <w:jc w:val="center"/>
        <w:rPr>
          <w:szCs w:val="28"/>
        </w:rPr>
      </w:pPr>
      <w:r>
        <w:rPr>
          <w:szCs w:val="28"/>
        </w:rPr>
        <w:t>к Положению</w:t>
      </w:r>
    </w:p>
    <w:p>
      <w:pPr>
        <w:pStyle w:val="Normal"/>
        <w:widowControl w:val="false"/>
        <w:spacing w:lineRule="auto" w:line="240"/>
        <w:ind w:left="5672"/>
        <w:jc w:val="center"/>
        <w:rPr>
          <w:szCs w:val="28"/>
        </w:rPr>
      </w:pPr>
      <w:r>
        <w:rPr>
          <w:szCs w:val="28"/>
        </w:rPr>
        <w:t>об электронной почтовой системе</w:t>
      </w:r>
    </w:p>
    <w:p>
      <w:pPr>
        <w:pStyle w:val="Normal"/>
        <w:widowControl w:val="false"/>
        <w:spacing w:lineRule="auto" w:line="240"/>
        <w:rPr>
          <w:szCs w:val="28"/>
        </w:rPr>
      </w:pPr>
      <w:r>
        <w:rPr>
          <w:szCs w:val="28"/>
        </w:rPr>
      </w:r>
    </w:p>
    <w:p>
      <w:pPr>
        <w:pStyle w:val="Normal"/>
        <w:widowControl w:val="false"/>
        <w:spacing w:lineRule="auto" w:line="240"/>
        <w:rPr>
          <w:szCs w:val="28"/>
        </w:rPr>
      </w:pPr>
      <w:r>
        <w:rPr>
          <w:szCs w:val="28"/>
        </w:rPr>
      </w:r>
    </w:p>
    <w:p>
      <w:pPr>
        <w:pStyle w:val="Normal"/>
        <w:spacing w:lineRule="auto" w:line="259" w:before="0" w:after="160"/>
        <w:contextualSpacing/>
        <w:jc w:val="center"/>
        <w:rPr>
          <w:rFonts w:eastAsia="Calibri"/>
          <w:b/>
          <w:szCs w:val="28"/>
          <w:lang w:eastAsia="en-US"/>
        </w:rPr>
      </w:pPr>
      <w:r>
        <w:rPr>
          <w:rFonts w:eastAsia="Calibri"/>
          <w:b/>
          <w:szCs w:val="28"/>
          <w:lang w:eastAsia="en-US"/>
        </w:rPr>
        <w:t xml:space="preserve">ПЕРЕЧЕНЬ </w:t>
      </w:r>
    </w:p>
    <w:p>
      <w:pPr>
        <w:pStyle w:val="Normal"/>
        <w:spacing w:lineRule="auto" w:line="259" w:before="0" w:after="160"/>
        <w:contextualSpacing/>
        <w:jc w:val="center"/>
        <w:rPr>
          <w:rFonts w:eastAsia="Calibri"/>
          <w:b/>
          <w:szCs w:val="28"/>
          <w:lang w:eastAsia="en-US"/>
        </w:rPr>
      </w:pPr>
      <w:r>
        <w:rPr>
          <w:rFonts w:eastAsia="Calibri"/>
          <w:b/>
          <w:szCs w:val="28"/>
          <w:lang w:eastAsia="en-US"/>
        </w:rPr>
        <w:t>категорий юридически значимых сообщений, направляемых в федеральную государственную информационную систему «Единый портал государственных и муниципальных услуг (функций)» и на</w:t>
      </w:r>
      <w:r>
        <w:rPr>
          <w:rFonts w:eastAsia="Calibri"/>
          <w:szCs w:val="28"/>
          <w:lang w:eastAsia="en-US"/>
        </w:rPr>
        <w:t xml:space="preserve"> </w:t>
      </w:r>
      <w:r>
        <w:rPr>
          <w:rFonts w:eastAsia="Calibri"/>
          <w:b/>
          <w:szCs w:val="28"/>
          <w:lang w:eastAsia="en-US"/>
        </w:rPr>
        <w:t>региональные порталы государственных и муниципальных услуг посредством электронной почтовой системы организацией федеральной почтовой связи за плату</w:t>
      </w:r>
    </w:p>
    <w:p>
      <w:pPr>
        <w:pStyle w:val="Normal"/>
        <w:spacing w:lineRule="auto" w:line="259" w:before="0" w:after="160"/>
        <w:ind w:left="709"/>
        <w:contextualSpacing/>
        <w:jc w:val="center"/>
        <w:rPr>
          <w:rFonts w:eastAsia="Calibri"/>
          <w:szCs w:val="28"/>
          <w:lang w:eastAsia="en-US"/>
        </w:rPr>
      </w:pPr>
      <w:r>
        <w:rPr>
          <w:rFonts w:eastAsia="Calibri"/>
          <w:szCs w:val="28"/>
          <w:lang w:eastAsia="en-US"/>
        </w:rPr>
      </w:r>
    </w:p>
    <w:p>
      <w:pPr>
        <w:pStyle w:val="Normal"/>
        <w:spacing w:lineRule="auto" w:line="259" w:before="0" w:after="160"/>
        <w:ind w:firstLine="851"/>
        <w:contextualSpacing/>
        <w:rPr>
          <w:rFonts w:eastAsia="Calibri"/>
          <w:szCs w:val="28"/>
          <w:lang w:eastAsia="en-US"/>
        </w:rPr>
      </w:pPr>
      <w:r>
        <w:rPr>
          <w:rFonts w:eastAsia="Calibri"/>
          <w:szCs w:val="28"/>
          <w:lang w:eastAsia="en-US"/>
        </w:rPr>
        <w:t>1. Сообщения, направляемые в соответствии с требованиями законодательства Российской Федерации, законодательства субъектов Российской Федерации, муниципальными правовыми актами, нормативными актами Центрального банка Российской Федерации в рамках исполнения функций и полномочий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Центральным банком Российской Федерации.</w:t>
      </w:r>
    </w:p>
    <w:p>
      <w:pPr>
        <w:pStyle w:val="Normal"/>
        <w:spacing w:lineRule="auto" w:line="259" w:before="0" w:after="160"/>
        <w:ind w:firstLine="851"/>
        <w:contextualSpacing/>
        <w:rPr>
          <w:rFonts w:eastAsia="Calibri"/>
          <w:szCs w:val="28"/>
          <w:lang w:eastAsia="en-US"/>
        </w:rPr>
      </w:pPr>
      <w:r>
        <w:rPr>
          <w:rFonts w:eastAsia="Calibri"/>
          <w:szCs w:val="28"/>
          <w:lang w:eastAsia="en-US"/>
        </w:rPr>
        <w:t>2. Сообщения, направляемые в соответствии с требованиями законодательства Российской Федерации, законодательства субъектов Российской Федерации в рамках исполнения функций и полномочий юридических лиц, наделенных отдельными государственными или иными публичными полномочиями, государственных компаний, государственных корпораций, иных юридических лиц, доля участия Российской Федерации в уставном капитале которых составляет более 50 процентов.</w:t>
      </w:r>
    </w:p>
    <w:p>
      <w:pPr>
        <w:pStyle w:val="Normal"/>
        <w:spacing w:lineRule="auto" w:line="259" w:before="0" w:after="160"/>
        <w:ind w:firstLine="851"/>
        <w:contextualSpacing/>
        <w:rPr>
          <w:rFonts w:eastAsia="Calibri"/>
          <w:szCs w:val="28"/>
          <w:lang w:eastAsia="en-US"/>
        </w:rPr>
      </w:pPr>
      <w:r>
        <w:rPr>
          <w:rFonts w:eastAsia="Calibri"/>
          <w:szCs w:val="28"/>
          <w:lang w:eastAsia="en-US"/>
        </w:rPr>
        <w:t>3. Сообщения, связанные с осуществлением конституционного, гражданского, арбитражного, административного и уголовного судопроизводства.</w:t>
      </w:r>
    </w:p>
    <w:p>
      <w:pPr>
        <w:pStyle w:val="Normal"/>
        <w:spacing w:lineRule="auto" w:line="259" w:before="0" w:after="160"/>
        <w:ind w:firstLine="851"/>
        <w:contextualSpacing/>
        <w:rPr>
          <w:rFonts w:eastAsia="Calibri"/>
          <w:szCs w:val="28"/>
          <w:lang w:eastAsia="en-US"/>
        </w:rPr>
      </w:pPr>
      <w:r>
        <w:rPr>
          <w:rFonts w:eastAsia="Calibri"/>
          <w:szCs w:val="28"/>
          <w:lang w:eastAsia="en-US"/>
        </w:rPr>
        <w:t>4. Сообщения, содержащие информацию о сделке и (или) иную, связанную с заключением и (или) совершением сделки информацию, имеющую правовое значение.</w:t>
      </w:r>
    </w:p>
    <w:p>
      <w:pPr>
        <w:pStyle w:val="Normal"/>
        <w:spacing w:lineRule="auto" w:line="259" w:before="0" w:after="160"/>
        <w:ind w:firstLine="851"/>
        <w:contextualSpacing/>
        <w:rPr>
          <w:rFonts w:eastAsia="Calibri"/>
          <w:szCs w:val="28"/>
          <w:lang w:eastAsia="en-US"/>
        </w:rPr>
      </w:pPr>
      <w:r>
        <w:rPr>
          <w:rFonts w:eastAsia="Calibri"/>
          <w:szCs w:val="28"/>
          <w:lang w:eastAsia="en-US"/>
        </w:rPr>
        <w:t>5.</w:t>
      </w:r>
      <w:r>
        <w:rPr>
          <w:rFonts w:eastAsia="Calibri" w:ascii="Calibri" w:hAnsi="Calibri"/>
          <w:sz w:val="22"/>
          <w:szCs w:val="22"/>
          <w:lang w:eastAsia="en-US"/>
        </w:rPr>
        <w:t xml:space="preserve"> </w:t>
      </w:r>
      <w:r>
        <w:rPr>
          <w:rFonts w:eastAsia="Calibri"/>
          <w:szCs w:val="28"/>
          <w:lang w:eastAsia="en-US"/>
        </w:rPr>
        <w:t xml:space="preserve">Сообщения, направляемые в рамках реализации прав и обязанностей граждан Российской Федерации, иностранных граждан, лиц без гражданства, объединений граждан, в том числе юридических лиц, в их взаимоотношениях с организациями, реализующими отдельные публичные полномочия. </w:t>
      </w:r>
    </w:p>
    <w:sectPr>
      <w:headerReference w:type="even" r:id="rId5"/>
      <w:headerReference w:type="default" r:id="rId6"/>
      <w:headerReference w:type="first" r:id="rId7"/>
      <w:type w:val="nextPage"/>
      <w:pgSz w:w="11906" w:h="16838"/>
      <w:pgMar w:left="1418" w:right="1418" w:gutter="0" w:header="709" w:top="1418" w:footer="0" w:bottom="1418"/>
      <w:pgNumType w:start="1"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CYR">
    <w:charset w:val="01"/>
    <w:family w:val="roman"/>
    <w:pitch w:val="default"/>
  </w:font>
  <w:font w:name="Times New Roman">
    <w:charset w:val="01"/>
    <w:family w:val="roman"/>
    <w:pitch w:val="default"/>
  </w:font>
  <w:font w:name="Tahoma">
    <w:charset w:val="01"/>
    <w:family w:val="swiss"/>
    <w:pitch w:val="default"/>
  </w:font>
  <w:font w:name="Calibri">
    <w:charset w:val="01"/>
    <w:family w:val="roman"/>
    <w:pitch w:val="default"/>
  </w:font>
  <w:font w:name="PT Astra Serif">
    <w:charset w:val="01"/>
    <w:family w:val="roman"/>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282042697"/>
    </w:sdtPr>
    <w:sdtContent>
      <w:p>
        <w:pPr>
          <w:pStyle w:val="Header"/>
          <w:jc w:val="center"/>
          <w:rPr/>
        </w:pPr>
        <w:r>
          <w:rPr/>
          <w:fldChar w:fldCharType="begin"/>
        </w:r>
        <w:r>
          <w:rPr/>
          <w:instrText xml:space="preserve"> PAGE </w:instrText>
        </w:r>
        <w:r>
          <w:rPr/>
          <w:fldChar w:fldCharType="separate"/>
        </w:r>
        <w:r>
          <w:rPr/>
          <w:t>0</w:t>
        </w:r>
        <w:r>
          <w:rPr/>
          <w:fldChar w:fldCharType="end"/>
        </w:r>
      </w:p>
    </w:sdtContent>
  </w:sdt>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153"/>
        <w:tab w:val="clear" w:pos="8306"/>
      </w:tabs>
      <w:jc w:val="cent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153"/>
        <w:tab w:val="clear" w:pos="8306"/>
      </w:tabs>
      <w:jc w:val="center"/>
      <w:rPr/>
    </w:pPr>
    <w:r>
      <w:rPr/>
    </w:r>
  </w:p>
</w:hdr>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CYR" w:hAnsi="Times New Roman CYR"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b76c05"/>
    <w:pPr>
      <w:widowControl/>
      <w:suppressAutoHyphens w:val="true"/>
      <w:bidi w:val="0"/>
      <w:spacing w:lineRule="atLeast" w:line="360" w:before="0" w:after="0"/>
      <w:jc w:val="both"/>
    </w:pPr>
    <w:rPr>
      <w:rFonts w:ascii="Times New Roman" w:hAnsi="Times New Roman" w:eastAsia="Times New Roman" w:cs="Times New Roman"/>
      <w:color w:val="auto"/>
      <w:kern w:val="0"/>
      <w:sz w:val="28"/>
      <w:szCs w:val="20"/>
      <w:lang w:val="ru-RU" w:eastAsia="ru-RU" w:bidi="ar-SA"/>
    </w:rPr>
  </w:style>
  <w:style w:type="character" w:styleId="DefaultParagraphFont" w:default="1">
    <w:name w:val="Default Paragraph Font"/>
    <w:uiPriority w:val="1"/>
    <w:semiHidden/>
    <w:unhideWhenUsed/>
    <w:qFormat/>
    <w:rPr/>
  </w:style>
  <w:style w:type="character" w:styleId="PageNumber">
    <w:name w:val="page number"/>
    <w:basedOn w:val="DefaultParagraphFont"/>
    <w:rPr/>
  </w:style>
  <w:style w:type="character" w:styleId="Hyperlink">
    <w:name w:val="Hyperlink"/>
    <w:rsid w:val="005d21f1"/>
    <w:rPr>
      <w:color w:val="0000FF"/>
      <w:u w:val="single"/>
    </w:rPr>
  </w:style>
  <w:style w:type="character" w:styleId="Style14" w:customStyle="1">
    <w:name w:val="Текст выноски Знак"/>
    <w:link w:val="BalloonText"/>
    <w:uiPriority w:val="99"/>
    <w:qFormat/>
    <w:rsid w:val="00245c01"/>
    <w:rPr>
      <w:rFonts w:ascii="Tahoma" w:hAnsi="Tahoma" w:cs="Tahoma"/>
      <w:sz w:val="16"/>
      <w:szCs w:val="16"/>
    </w:rPr>
  </w:style>
  <w:style w:type="character" w:styleId="Style15" w:customStyle="1">
    <w:name w:val="Верхний колонтитул Знак"/>
    <w:uiPriority w:val="99"/>
    <w:qFormat/>
    <w:rsid w:val="00af2657"/>
    <w:rPr>
      <w:rFonts w:ascii="Times New Roman" w:hAnsi="Times New Roman"/>
      <w:sz w:val="28"/>
    </w:rPr>
  </w:style>
  <w:style w:type="character" w:styleId="CommentReference">
    <w:name w:val="annotation reference"/>
    <w:qFormat/>
    <w:rsid w:val="000438f6"/>
    <w:rPr>
      <w:sz w:val="16"/>
      <w:szCs w:val="16"/>
    </w:rPr>
  </w:style>
  <w:style w:type="character" w:styleId="Style16" w:customStyle="1">
    <w:name w:val="Текст примечания Знак"/>
    <w:qFormat/>
    <w:rsid w:val="000438f6"/>
    <w:rPr>
      <w:rFonts w:ascii="Times New Roman" w:hAnsi="Times New Roman"/>
    </w:rPr>
  </w:style>
  <w:style w:type="character" w:styleId="Style17" w:customStyle="1">
    <w:name w:val="Тема примечания Знак"/>
    <w:link w:val="annotationsubject"/>
    <w:qFormat/>
    <w:rsid w:val="000438f6"/>
    <w:rPr>
      <w:rFonts w:ascii="Times New Roman" w:hAnsi="Times New Roman"/>
      <w:b/>
      <w:bCs/>
    </w:rPr>
  </w:style>
  <w:style w:type="character" w:styleId="1" w:customStyle="1">
    <w:name w:val="Неразрешенное упоминание1"/>
    <w:basedOn w:val="DefaultParagraphFont"/>
    <w:uiPriority w:val="99"/>
    <w:semiHidden/>
    <w:unhideWhenUsed/>
    <w:qFormat/>
    <w:rsid w:val="008168f1"/>
    <w:rPr>
      <w:color w:val="605E5C"/>
      <w:shd w:fill="E1DFDD" w:val="clear"/>
    </w:rPr>
  </w:style>
  <w:style w:type="character" w:styleId="Style18" w:customStyle="1">
    <w:name w:val="Подзаголовок Знак"/>
    <w:basedOn w:val="DefaultParagraphFont"/>
    <w:qFormat/>
    <w:rsid w:val="00ae281a"/>
    <w:rPr>
      <w:rFonts w:ascii="Calibri" w:hAnsi="Calibri" w:eastAsia="" w:cs="" w:asciiTheme="minorHAnsi" w:cstheme="minorBidi" w:eastAsiaTheme="minorEastAsia" w:hAnsiTheme="minorHAnsi"/>
      <w:color w:themeColor="text1" w:themeTint="a5" w:val="5A5A5A"/>
      <w:spacing w:val="15"/>
      <w:sz w:val="22"/>
      <w:szCs w:val="22"/>
    </w:rPr>
  </w:style>
  <w:style w:type="character" w:styleId="2" w:customStyle="1">
    <w:name w:val="Неразрешенное упоминание2"/>
    <w:basedOn w:val="DefaultParagraphFont"/>
    <w:uiPriority w:val="99"/>
    <w:semiHidden/>
    <w:unhideWhenUsed/>
    <w:qFormat/>
    <w:rsid w:val="004e7ff0"/>
    <w:rPr>
      <w:color w:val="605E5C"/>
      <w:shd w:fill="E1DFDD" w:val="clear"/>
    </w:rPr>
  </w:style>
  <w:style w:type="character" w:styleId="3" w:customStyle="1">
    <w:name w:val="Неразрешенное упоминание3"/>
    <w:basedOn w:val="DefaultParagraphFont"/>
    <w:uiPriority w:val="99"/>
    <w:semiHidden/>
    <w:unhideWhenUsed/>
    <w:qFormat/>
    <w:rsid w:val="003d7046"/>
    <w:rPr>
      <w:color w:val="605E5C"/>
      <w:shd w:fill="E1DFDD" w:val="clear"/>
    </w:rPr>
  </w:style>
  <w:style w:type="paragraph" w:styleId="Style19">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sz w:val="24"/>
      <w:szCs w:val="24"/>
    </w:rPr>
  </w:style>
  <w:style w:type="paragraph" w:styleId="Style20">
    <w:name w:val="Указатель"/>
    <w:basedOn w:val="Normal"/>
    <w:qFormat/>
    <w:pPr>
      <w:suppressLineNumbers/>
    </w:pPr>
    <w:rPr>
      <w:rFonts w:ascii="PT Astra Serif" w:hAnsi="PT Astra Serif" w:cs="FreeSans"/>
    </w:rPr>
  </w:style>
  <w:style w:type="paragraph" w:styleId="user">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1">
    <w:name w:val="Указатель (user)"/>
    <w:basedOn w:val="Normal"/>
    <w:qFormat/>
    <w:pPr>
      <w:suppressLineNumbers/>
    </w:pPr>
    <w:rPr>
      <w:rFonts w:ascii="PT Astra Serif" w:hAnsi="PT Astra Serif" w:cs="FreeSans"/>
    </w:rPr>
  </w:style>
  <w:style w:type="paragraph" w:styleId="HeaderandFooter">
    <w:name w:val="Header and Footer"/>
    <w:basedOn w:val="Normal"/>
    <w:qFormat/>
    <w:pPr/>
    <w:rPr/>
  </w:style>
  <w:style w:type="paragraph" w:styleId="Header">
    <w:name w:val="header"/>
    <w:basedOn w:val="Normal"/>
    <w:link w:val="Style15"/>
    <w:uiPriority w:val="99"/>
    <w:pPr>
      <w:tabs>
        <w:tab w:val="clear" w:pos="709"/>
        <w:tab w:val="center" w:pos="4153" w:leader="none"/>
        <w:tab w:val="right" w:pos="8306" w:leader="none"/>
      </w:tabs>
    </w:pPr>
    <w:rPr/>
  </w:style>
  <w:style w:type="paragraph" w:styleId="Footer">
    <w:name w:val="footer"/>
    <w:basedOn w:val="Normal"/>
    <w:pPr>
      <w:tabs>
        <w:tab w:val="clear" w:pos="709"/>
        <w:tab w:val="center" w:pos="4153" w:leader="none"/>
        <w:tab w:val="right" w:pos="8306" w:leader="none"/>
      </w:tabs>
    </w:pPr>
    <w:rPr/>
  </w:style>
  <w:style w:type="paragraph" w:styleId="BalloonText">
    <w:name w:val="Balloon Text"/>
    <w:basedOn w:val="Normal"/>
    <w:link w:val="Style14"/>
    <w:qFormat/>
    <w:rsid w:val="00245c01"/>
    <w:pPr>
      <w:spacing w:lineRule="auto" w:line="240"/>
    </w:pPr>
    <w:rPr>
      <w:rFonts w:ascii="Tahoma" w:hAnsi="Tahoma" w:cs="Tahoma"/>
      <w:sz w:val="16"/>
      <w:szCs w:val="16"/>
    </w:rPr>
  </w:style>
  <w:style w:type="paragraph" w:styleId="CommentText">
    <w:name w:val="annotation text"/>
    <w:basedOn w:val="Normal"/>
    <w:link w:val="Style16"/>
    <w:rsid w:val="000438f6"/>
    <w:pPr/>
    <w:rPr>
      <w:sz w:val="20"/>
    </w:rPr>
  </w:style>
  <w:style w:type="paragraph" w:styleId="annotationsubject">
    <w:name w:val="annotation subject"/>
    <w:basedOn w:val="CommentText"/>
    <w:next w:val="CommentText"/>
    <w:link w:val="Style17"/>
    <w:qFormat/>
    <w:rsid w:val="000438f6"/>
    <w:pPr/>
    <w:rPr>
      <w:b/>
      <w:bCs/>
    </w:rPr>
  </w:style>
  <w:style w:type="paragraph" w:styleId="Revision">
    <w:name w:val="Revision"/>
    <w:uiPriority w:val="99"/>
    <w:semiHidden/>
    <w:qFormat/>
    <w:rsid w:val="00373f38"/>
    <w:pPr>
      <w:widowControl/>
      <w:suppressAutoHyphens w:val="true"/>
      <w:bidi w:val="0"/>
      <w:spacing w:before="0" w:after="0"/>
      <w:jc w:val="left"/>
    </w:pPr>
    <w:rPr>
      <w:rFonts w:ascii="Times New Roman" w:hAnsi="Times New Roman" w:eastAsia="Times New Roman" w:cs="Times New Roman"/>
      <w:color w:val="auto"/>
      <w:kern w:val="0"/>
      <w:sz w:val="28"/>
      <w:szCs w:val="20"/>
      <w:lang w:val="ru-RU" w:eastAsia="ru-RU" w:bidi="ar-SA"/>
    </w:rPr>
  </w:style>
  <w:style w:type="paragraph" w:styleId="ListParagraph">
    <w:name w:val="List Paragraph"/>
    <w:basedOn w:val="Normal"/>
    <w:uiPriority w:val="34"/>
    <w:qFormat/>
    <w:rsid w:val="001e785d"/>
    <w:pPr>
      <w:spacing w:before="0" w:after="0"/>
      <w:ind w:left="720"/>
      <w:contextualSpacing/>
    </w:pPr>
    <w:rPr/>
  </w:style>
  <w:style w:type="paragraph" w:styleId="ConsPlusNormal" w:customStyle="1">
    <w:name w:val="ConsPlusNormal"/>
    <w:qFormat/>
    <w:rsid w:val="007a5a27"/>
    <w:pPr>
      <w:widowControl w:val="false"/>
      <w:suppressAutoHyphens w:val="true"/>
      <w:bidi w:val="0"/>
      <w:spacing w:before="0" w:after="0"/>
      <w:jc w:val="left"/>
    </w:pPr>
    <w:rPr>
      <w:rFonts w:ascii="Calibri" w:hAnsi="Calibri" w:eastAsia="" w:cs="Calibri" w:eastAsiaTheme="minorEastAsia"/>
      <w:color w:val="auto"/>
      <w:kern w:val="0"/>
      <w:sz w:val="22"/>
      <w:szCs w:val="22"/>
      <w:lang w:val="ru-RU" w:eastAsia="ru-RU" w:bidi="ar-SA"/>
    </w:rPr>
  </w:style>
  <w:style w:type="paragraph" w:styleId="NormalWeb">
    <w:name w:val="Normal (Web)"/>
    <w:basedOn w:val="Normal"/>
    <w:uiPriority w:val="99"/>
    <w:qFormat/>
    <w:rsid w:val="00442905"/>
    <w:pPr/>
    <w:rPr>
      <w:sz w:val="24"/>
      <w:szCs w:val="24"/>
    </w:rPr>
  </w:style>
  <w:style w:type="paragraph" w:styleId="Subtitle">
    <w:name w:val="Subtitle"/>
    <w:basedOn w:val="Normal"/>
    <w:next w:val="Normal"/>
    <w:link w:val="Style18"/>
    <w:qFormat/>
    <w:rsid w:val="00ae281a"/>
    <w:pPr>
      <w:spacing w:before="0" w:after="160"/>
    </w:pPr>
    <w:rPr>
      <w:rFonts w:ascii="Calibri" w:hAnsi="Calibri" w:eastAsia="" w:cs="" w:asciiTheme="minorHAnsi" w:cstheme="minorBidi" w:eastAsiaTheme="minorEastAsia" w:hAnsiTheme="minorHAnsi"/>
      <w:color w:themeColor="text1" w:themeTint="a5" w:val="5A5A5A"/>
      <w:spacing w:val="15"/>
      <w:sz w:val="22"/>
      <w:szCs w:val="22"/>
    </w:rPr>
  </w:style>
  <w:style w:type="numbering" w:styleId="user2"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10">
    <w:name w:val="Сетка таблицы1"/>
    <w:basedOn w:val="a1"/>
    <w:rsid w:val="00ef338c"/>
    <w:pPr>
      <w:spacing w:line="360" w:lineRule="atLeast"/>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af4">
    <w:name w:val="Table Grid"/>
    <w:basedOn w:val="a1"/>
    <w:rsid w:val="00ef338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glossaryDocument" Target="glossary/document.xml"/><Relationship Id="rId12" Type="http://schemas.openxmlformats.org/officeDocument/2006/relationships/customXml" Target="../customXml/item1.xml"/>
</Relationships>
</file>

<file path=word/glossary/_rels/document.xml.rels><?xml version="1.0" encoding="UTF-8"?>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D34D47E84274B90875CD0D698EE0333"/>
        <w:category>
          <w:name w:val="Общие"/>
          <w:gallery w:val="placeholder"/>
        </w:category>
        <w:types>
          <w:type w:val="bbPlcHdr"/>
        </w:types>
        <w:behaviors>
          <w:behavior w:val="content"/>
        </w:behaviors>
        <w:guid w:val="{F829D568-FCBE-4445-A5A6-DB1B976085AA}"/>
      </w:docPartPr>
      <w:docPartBody>
        <w:p w:rsidR="00E33D7E" w:rsidRDefault="00BB613F" w:rsidP="00BB613F">
          <w:pPr>
            <w:pStyle w:val="8D34D47E84274B90875CD0D698EE0333"/>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DA6"/>
    <w:rsid w:val="00000547"/>
    <w:rsid w:val="0000472A"/>
    <w:rsid w:val="00012974"/>
    <w:rsid w:val="00025544"/>
    <w:rsid w:val="00047899"/>
    <w:rsid w:val="000A13BA"/>
    <w:rsid w:val="000A19BF"/>
    <w:rsid w:val="000A2099"/>
    <w:rsid w:val="000A304B"/>
    <w:rsid w:val="000B1233"/>
    <w:rsid w:val="000C6AE4"/>
    <w:rsid w:val="000C6F94"/>
    <w:rsid w:val="000E1B48"/>
    <w:rsid w:val="000F42BE"/>
    <w:rsid w:val="001017FA"/>
    <w:rsid w:val="00117B30"/>
    <w:rsid w:val="001340FF"/>
    <w:rsid w:val="00135C4A"/>
    <w:rsid w:val="00170D64"/>
    <w:rsid w:val="00170E11"/>
    <w:rsid w:val="001944C2"/>
    <w:rsid w:val="001A2453"/>
    <w:rsid w:val="001A2884"/>
    <w:rsid w:val="001A2F9E"/>
    <w:rsid w:val="001E6FAB"/>
    <w:rsid w:val="001F0BB6"/>
    <w:rsid w:val="00214A71"/>
    <w:rsid w:val="002178D7"/>
    <w:rsid w:val="00224B4F"/>
    <w:rsid w:val="002250FF"/>
    <w:rsid w:val="00283F4D"/>
    <w:rsid w:val="002A75D5"/>
    <w:rsid w:val="002A7DBC"/>
    <w:rsid w:val="002C4BB1"/>
    <w:rsid w:val="00304A12"/>
    <w:rsid w:val="003345F2"/>
    <w:rsid w:val="00365DA9"/>
    <w:rsid w:val="003B0AAB"/>
    <w:rsid w:val="003C75DD"/>
    <w:rsid w:val="003D55B9"/>
    <w:rsid w:val="003D6FC5"/>
    <w:rsid w:val="003E6172"/>
    <w:rsid w:val="00400C48"/>
    <w:rsid w:val="00414F77"/>
    <w:rsid w:val="00420D56"/>
    <w:rsid w:val="0042537E"/>
    <w:rsid w:val="00431BB4"/>
    <w:rsid w:val="00436759"/>
    <w:rsid w:val="00436DA6"/>
    <w:rsid w:val="004408F6"/>
    <w:rsid w:val="0044407A"/>
    <w:rsid w:val="004464BE"/>
    <w:rsid w:val="00456C6D"/>
    <w:rsid w:val="00486AB7"/>
    <w:rsid w:val="00487ED4"/>
    <w:rsid w:val="004B1BAB"/>
    <w:rsid w:val="004D6696"/>
    <w:rsid w:val="004D7A4D"/>
    <w:rsid w:val="00553EBF"/>
    <w:rsid w:val="00567F41"/>
    <w:rsid w:val="005705C3"/>
    <w:rsid w:val="00574640"/>
    <w:rsid w:val="00577E98"/>
    <w:rsid w:val="00595DD4"/>
    <w:rsid w:val="005B4E6D"/>
    <w:rsid w:val="005D496A"/>
    <w:rsid w:val="005F106A"/>
    <w:rsid w:val="005F1ECB"/>
    <w:rsid w:val="005F231D"/>
    <w:rsid w:val="0062704C"/>
    <w:rsid w:val="0065168E"/>
    <w:rsid w:val="0065403A"/>
    <w:rsid w:val="00692C86"/>
    <w:rsid w:val="006E1F97"/>
    <w:rsid w:val="00712691"/>
    <w:rsid w:val="00713EBC"/>
    <w:rsid w:val="00723F3D"/>
    <w:rsid w:val="007403A4"/>
    <w:rsid w:val="007469BD"/>
    <w:rsid w:val="00747E4B"/>
    <w:rsid w:val="00751271"/>
    <w:rsid w:val="00752BD2"/>
    <w:rsid w:val="00756BB4"/>
    <w:rsid w:val="007642ED"/>
    <w:rsid w:val="00764AEB"/>
    <w:rsid w:val="007A3E00"/>
    <w:rsid w:val="007C10E9"/>
    <w:rsid w:val="007C6510"/>
    <w:rsid w:val="00822F16"/>
    <w:rsid w:val="008239DE"/>
    <w:rsid w:val="0085006B"/>
    <w:rsid w:val="00852EC8"/>
    <w:rsid w:val="008539E7"/>
    <w:rsid w:val="00870543"/>
    <w:rsid w:val="0087760D"/>
    <w:rsid w:val="008B141E"/>
    <w:rsid w:val="008B24FB"/>
    <w:rsid w:val="008C041A"/>
    <w:rsid w:val="008C53AB"/>
    <w:rsid w:val="008F0514"/>
    <w:rsid w:val="008F301B"/>
    <w:rsid w:val="009057B1"/>
    <w:rsid w:val="0091120D"/>
    <w:rsid w:val="009204CB"/>
    <w:rsid w:val="009236FD"/>
    <w:rsid w:val="009318D7"/>
    <w:rsid w:val="009A141C"/>
    <w:rsid w:val="009C1557"/>
    <w:rsid w:val="009C287D"/>
    <w:rsid w:val="009D4DE6"/>
    <w:rsid w:val="009F5E25"/>
    <w:rsid w:val="00A31F62"/>
    <w:rsid w:val="00A35B52"/>
    <w:rsid w:val="00A368AD"/>
    <w:rsid w:val="00A407F7"/>
    <w:rsid w:val="00A50C45"/>
    <w:rsid w:val="00A55887"/>
    <w:rsid w:val="00A76BF2"/>
    <w:rsid w:val="00A93C35"/>
    <w:rsid w:val="00AA3828"/>
    <w:rsid w:val="00AB0E0A"/>
    <w:rsid w:val="00AE3335"/>
    <w:rsid w:val="00AE5DA0"/>
    <w:rsid w:val="00B04C15"/>
    <w:rsid w:val="00B117C2"/>
    <w:rsid w:val="00B35E5B"/>
    <w:rsid w:val="00B57303"/>
    <w:rsid w:val="00B62615"/>
    <w:rsid w:val="00B70C4C"/>
    <w:rsid w:val="00B85342"/>
    <w:rsid w:val="00B95082"/>
    <w:rsid w:val="00BB613F"/>
    <w:rsid w:val="00BC17B8"/>
    <w:rsid w:val="00BD0B12"/>
    <w:rsid w:val="00BF2B28"/>
    <w:rsid w:val="00BF3531"/>
    <w:rsid w:val="00C1000F"/>
    <w:rsid w:val="00C476A3"/>
    <w:rsid w:val="00C60BEA"/>
    <w:rsid w:val="00C81E58"/>
    <w:rsid w:val="00C90651"/>
    <w:rsid w:val="00CA0265"/>
    <w:rsid w:val="00CB0A48"/>
    <w:rsid w:val="00CC1D9F"/>
    <w:rsid w:val="00CC30D4"/>
    <w:rsid w:val="00CC5B59"/>
    <w:rsid w:val="00CF219A"/>
    <w:rsid w:val="00D27F54"/>
    <w:rsid w:val="00D33E2F"/>
    <w:rsid w:val="00D53552"/>
    <w:rsid w:val="00D55282"/>
    <w:rsid w:val="00D609F8"/>
    <w:rsid w:val="00DB1CCD"/>
    <w:rsid w:val="00DD548D"/>
    <w:rsid w:val="00DD79D2"/>
    <w:rsid w:val="00DE087F"/>
    <w:rsid w:val="00DE3E82"/>
    <w:rsid w:val="00DE5C25"/>
    <w:rsid w:val="00DF118D"/>
    <w:rsid w:val="00E13EB6"/>
    <w:rsid w:val="00E322CD"/>
    <w:rsid w:val="00E33D7E"/>
    <w:rsid w:val="00E41073"/>
    <w:rsid w:val="00E41E60"/>
    <w:rsid w:val="00E6638C"/>
    <w:rsid w:val="00E7414B"/>
    <w:rsid w:val="00E91266"/>
    <w:rsid w:val="00EA5F93"/>
    <w:rsid w:val="00EB1A81"/>
    <w:rsid w:val="00EE10C7"/>
    <w:rsid w:val="00EF215D"/>
    <w:rsid w:val="00F11806"/>
    <w:rsid w:val="00F21AE8"/>
    <w:rsid w:val="00F22432"/>
    <w:rsid w:val="00F4309A"/>
    <w:rsid w:val="00F6027F"/>
    <w:rsid w:val="00F74FBF"/>
    <w:rsid w:val="00F97B39"/>
    <w:rsid w:val="00FB1F2D"/>
    <w:rsid w:val="00FC0E78"/>
    <w:rsid w:val="00FC1EBD"/>
    <w:rsid w:val="00FC70B3"/>
    <w:rsid w:val="00FD3488"/>
    <w:rsid w:val="00FD36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ru-RU" w:eastAsia="ru-R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B613F"/>
  </w:style>
  <w:style w:type="paragraph" w:customStyle="1" w:styleId="8D34D47E84274B90875CD0D698EE0333">
    <w:name w:val="8D34D47E84274B90875CD0D698EE0333"/>
    <w:rsid w:val="00BB613F"/>
    <w:pPr>
      <w:spacing w:line="278" w:lineRule="auto"/>
    </w:pPr>
    <w:rPr>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CC639F-E78F-40E3-B017-817B3B1FB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Application>LibreOffice/25.2.3.2$Linux_X86_64 LibreOffice_project/520$Build-2</Application>
  <AppVersion>15.0000</AppVersion>
  <Pages>14</Pages>
  <Words>3091</Words>
  <Characters>23834</Characters>
  <CharactersWithSpaces>26848</CharactersWithSpaces>
  <Paragraphs>142</Paragraphs>
  <Company>Российкой Федерации</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2026-10-02T19:33:00Z</dcterms:created>
  <dc:creator>Регистратор 15_2</dc:creator>
  <dc:description/>
  <dc:language>ru-RU</dc:language>
  <cp:lastModifiedBy/>
  <cp:lastPrinted>2023-11-29T15:24:00Z</cp:lastPrinted>
  <dcterms:modified xsi:type="dcterms:W3CDTF">2026-10-05T19:44:18Z</dcterms:modified>
  <cp:revision>7</cp:revision>
  <dc:subject/>
  <dc:title/>
</cp:coreProperties>
</file>

<file path=docProps/custom.xml><?xml version="1.0" encoding="utf-8"?>
<Properties xmlns="http://schemas.openxmlformats.org/officeDocument/2006/custom-properties" xmlns:vt="http://schemas.openxmlformats.org/officeDocument/2006/docPropsVTypes"/>
</file>